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CC994" w14:textId="77777777" w:rsidR="00AB6E37" w:rsidRDefault="00000000">
      <w:pPr>
        <w:pStyle w:val="Heading1"/>
        <w:spacing w:after="220"/>
        <w:rPr>
          <w:rFonts w:ascii="Palatino" w:eastAsia="Palatino" w:hAnsi="Palatino" w:cs="Palatino"/>
          <w:b/>
          <w:bCs/>
        </w:rPr>
      </w:pPr>
      <w:r>
        <w:rPr>
          <w:rFonts w:ascii="Palatino" w:eastAsia="Palatino" w:hAnsi="Palatino" w:cs="Palatino"/>
          <w:b/>
          <w:bCs/>
          <w:color w:val="43A44D"/>
          <w:sz w:val="30"/>
          <w:szCs w:val="30"/>
        </w:rPr>
        <w:t>Concept Note: Ledger-Based Carbon Accounting – A Learning Workshop with ERCST</w:t>
      </w:r>
    </w:p>
    <w:p w14:paraId="1DDE2436" w14:textId="77777777" w:rsidR="00AB6E37" w:rsidRDefault="00000000">
      <w:pPr>
        <w:spacing w:after="60" w:line="264" w:lineRule="auto"/>
      </w:pPr>
      <w:r>
        <w:rPr>
          <w:b/>
          <w:bCs/>
        </w:rPr>
        <w:t xml:space="preserve">Date: </w:t>
      </w:r>
      <w:r>
        <w:t>Tuesday, October 27, 2026</w:t>
      </w:r>
    </w:p>
    <w:p w14:paraId="6E1FDF3E" w14:textId="4FE569FD" w:rsidR="00AB6E37" w:rsidRDefault="00000000">
      <w:pPr>
        <w:spacing w:after="60" w:line="264" w:lineRule="auto"/>
      </w:pPr>
      <w:r>
        <w:rPr>
          <w:b/>
          <w:bCs/>
        </w:rPr>
        <w:t xml:space="preserve">Time: </w:t>
      </w:r>
      <w:r w:rsidR="000F2DB1">
        <w:t>10</w:t>
      </w:r>
      <w:r>
        <w:t xml:space="preserve">:00 </w:t>
      </w:r>
      <w:r w:rsidR="000F2DB1">
        <w:t>A</w:t>
      </w:r>
      <w:r>
        <w:t xml:space="preserve">M – </w:t>
      </w:r>
      <w:r w:rsidR="000F2DB1">
        <w:t>12</w:t>
      </w:r>
      <w:r>
        <w:t>:00 PM CET (2 hours total)</w:t>
      </w:r>
    </w:p>
    <w:p w14:paraId="57C42D21" w14:textId="77777777" w:rsidR="00AB6E37" w:rsidRPr="000F2DB1" w:rsidRDefault="00000000">
      <w:pPr>
        <w:spacing w:after="60" w:line="264" w:lineRule="auto"/>
        <w:rPr>
          <w:color w:val="222222"/>
          <w:sz w:val="22"/>
          <w:szCs w:val="22"/>
          <w:lang w:val="fr-BE"/>
        </w:rPr>
      </w:pPr>
      <w:proofErr w:type="gramStart"/>
      <w:r w:rsidRPr="000F2DB1">
        <w:rPr>
          <w:b/>
          <w:bCs/>
          <w:lang w:val="fr-BE"/>
        </w:rPr>
        <w:t>Location:</w:t>
      </w:r>
      <w:proofErr w:type="gramEnd"/>
      <w:r w:rsidRPr="000F2DB1">
        <w:rPr>
          <w:b/>
          <w:bCs/>
          <w:lang w:val="fr-BE"/>
        </w:rPr>
        <w:t xml:space="preserve"> </w:t>
      </w:r>
      <w:r w:rsidRPr="000F2DB1">
        <w:rPr>
          <w:color w:val="222222"/>
          <w:sz w:val="22"/>
          <w:szCs w:val="22"/>
          <w:lang w:val="fr-BE"/>
        </w:rPr>
        <w:t xml:space="preserve">Room 6, Conseil central de l’économie (CCE), </w:t>
      </w:r>
      <w:hyperlink r:id="rId8">
        <w:r w:rsidR="00AB6E37" w:rsidRPr="000F2DB1">
          <w:rPr>
            <w:color w:val="1155CC"/>
            <w:sz w:val="22"/>
            <w:szCs w:val="22"/>
            <w:u w:val="single"/>
            <w:lang w:val="fr-BE"/>
          </w:rPr>
          <w:t>Bâtiment Avenue d’Auderghem 18-20</w:t>
        </w:r>
      </w:hyperlink>
      <w:r w:rsidRPr="000F2DB1">
        <w:rPr>
          <w:color w:val="222222"/>
          <w:sz w:val="22"/>
          <w:szCs w:val="22"/>
          <w:lang w:val="fr-BE"/>
        </w:rPr>
        <w:t>, 1040 Bruxelles</w:t>
      </w:r>
    </w:p>
    <w:p w14:paraId="1C044280" w14:textId="77777777" w:rsidR="00AB6E37" w:rsidRDefault="00000000">
      <w:pPr>
        <w:spacing w:after="60" w:line="264" w:lineRule="auto"/>
      </w:pPr>
      <w:r>
        <w:rPr>
          <w:b/>
          <w:bCs/>
        </w:rPr>
        <w:t xml:space="preserve">Format: </w:t>
      </w:r>
      <w:r>
        <w:t>2-hour, invitation-only in-person learning workshop under the Chatham House Rule</w:t>
      </w:r>
    </w:p>
    <w:p w14:paraId="6A77F779" w14:textId="77777777" w:rsidR="00AB6E37" w:rsidRDefault="00000000">
      <w:pPr>
        <w:spacing w:after="60" w:line="264" w:lineRule="auto"/>
      </w:pPr>
      <w:r>
        <w:rPr>
          <w:b/>
          <w:bCs/>
        </w:rPr>
        <w:t xml:space="preserve">Co-conveners: </w:t>
      </w:r>
      <w:r>
        <w:t>Andrei Marcu (ERCST); Prof. Karthik Ramanna (E-ledgers Institute / University of Oxford)</w:t>
      </w:r>
    </w:p>
    <w:p w14:paraId="175DC808" w14:textId="77777777" w:rsidR="00AB6E37" w:rsidRDefault="00000000">
      <w:pPr>
        <w:pStyle w:val="Heading2"/>
        <w:spacing w:before="320" w:after="140"/>
      </w:pPr>
      <w:r>
        <w:rPr>
          <w:b/>
          <w:bCs/>
          <w:color w:val="000000"/>
          <w:sz w:val="24"/>
          <w:szCs w:val="24"/>
        </w:rPr>
        <w:t>Background</w:t>
      </w:r>
    </w:p>
    <w:p w14:paraId="03CFA40A" w14:textId="7D6B207B" w:rsidR="00AB6E37" w:rsidRDefault="00000000" w:rsidP="00062408">
      <w:pPr>
        <w:spacing w:after="160" w:line="264" w:lineRule="auto"/>
        <w:jc w:val="both"/>
      </w:pPr>
      <w:r>
        <w:t>A</w:t>
      </w:r>
      <w:r w:rsidR="002F2D1A">
        <w:t>s</w:t>
      </w:r>
      <w:r>
        <w:t xml:space="preserve"> the EU’s climate </w:t>
      </w:r>
      <w:r w:rsidR="002F2D1A">
        <w:t>framework matures</w:t>
      </w:r>
      <w:r>
        <w:t xml:space="preserve"> beyond the Emissions Trading System (ETS), a growing share of policies </w:t>
      </w:r>
      <w:proofErr w:type="gramStart"/>
      <w:r>
        <w:t>consider</w:t>
      </w:r>
      <w:proofErr w:type="gramEnd"/>
      <w:r>
        <w:t xml:space="preserve"> the emissions attached to products. The Carbon Border Adjustment Mechanism (CBAM) prices </w:t>
      </w:r>
      <w:proofErr w:type="gramStart"/>
      <w:r>
        <w:t>imports</w:t>
      </w:r>
      <w:proofErr w:type="gramEnd"/>
      <w:r>
        <w:t xml:space="preserve"> on embedded emissions, calculated and verified at the level of the good. The Ecodesign Regulation,</w:t>
      </w:r>
      <w:r>
        <w:rPr>
          <w:color w:val="000000"/>
        </w:rPr>
        <w:t xml:space="preserve"> the </w:t>
      </w:r>
      <w:r>
        <w:t>Digital Product Passport</w:t>
      </w:r>
      <w:r>
        <w:rPr>
          <w:color w:val="000000"/>
        </w:rPr>
        <w:t xml:space="preserve">, the </w:t>
      </w:r>
      <w:r>
        <w:t>Batteries Regulation</w:t>
      </w:r>
      <w:r>
        <w:rPr>
          <w:color w:val="000000"/>
        </w:rPr>
        <w:t xml:space="preserve">, and the </w:t>
      </w:r>
      <w:r>
        <w:t xml:space="preserve">Methane Regulation </w:t>
      </w:r>
      <w:r>
        <w:rPr>
          <w:color w:val="000000"/>
        </w:rPr>
        <w:t>each rest on a similar premise</w:t>
      </w:r>
      <w:r>
        <w:t>:  that a product’s carbon footprint can be measured, verified, and trusted. Markets are already beginning to price this in, for example, low-carbon</w:t>
      </w:r>
      <w:r>
        <w:rPr>
          <w:color w:val="000000"/>
        </w:rPr>
        <w:t xml:space="preserve"> premia are being written into offtake contracts, and lenders and insurers </w:t>
      </w:r>
      <w:r>
        <w:t xml:space="preserve">are starting to factor </w:t>
      </w:r>
      <w:r>
        <w:rPr>
          <w:color w:val="000000"/>
        </w:rPr>
        <w:t xml:space="preserve">value emissions intensity per unit of product into </w:t>
      </w:r>
      <w:r>
        <w:t>risk models.</w:t>
      </w:r>
    </w:p>
    <w:p w14:paraId="4FD4D1E6" w14:textId="77777777" w:rsidR="00AB6E37" w:rsidRDefault="00000000" w:rsidP="00062408">
      <w:pPr>
        <w:spacing w:after="160" w:line="264" w:lineRule="auto"/>
        <w:jc w:val="both"/>
      </w:pPr>
      <w:r>
        <w:t xml:space="preserve">However, current emissions accounting </w:t>
      </w:r>
      <w:r>
        <w:rPr>
          <w:color w:val="1F1F1F"/>
        </w:rPr>
        <w:t xml:space="preserve">tools were not designed for these purposes. Existing frameworks rely on </w:t>
      </w:r>
      <w:r>
        <w:rPr>
          <w:color w:val="000000"/>
        </w:rPr>
        <w:t>sector-level assumptions,</w:t>
      </w:r>
      <w:r>
        <w:t xml:space="preserve"> </w:t>
      </w:r>
      <w:r>
        <w:rPr>
          <w:color w:val="000000"/>
        </w:rPr>
        <w:t xml:space="preserve">double count across value chains, and produce </w:t>
      </w:r>
      <w:r>
        <w:t>product-level allocations that cannot survive audit or contractual dispute. While Europe has many product-level policies and emissions measurement tools, these are not interoperable. The resulting patchwork limits the effectiveness and scale of product-level accounting, and makes compliance burdensome. There is an opportunity for policymakers and industry to harmonize around a methodology that is accurate, comparable, and robust.</w:t>
      </w:r>
    </w:p>
    <w:p w14:paraId="3C641E1D" w14:textId="4BBAE5D5" w:rsidR="00AB6E37" w:rsidRDefault="00000000" w:rsidP="00062408">
      <w:pPr>
        <w:spacing w:after="160" w:line="264" w:lineRule="auto"/>
        <w:jc w:val="both"/>
      </w:pPr>
      <w:r>
        <w:t>Ledger-based emissions accounting, as developed by accounting scholars at Oxford and Harvard universities, offers a practical way through. The approach</w:t>
      </w:r>
      <w:r>
        <w:rPr>
          <w:color w:val="000000"/>
        </w:rPr>
        <w:t xml:space="preserve"> applies </w:t>
      </w:r>
      <w:r>
        <w:t xml:space="preserve">the discipline of </w:t>
      </w:r>
      <w:r>
        <w:rPr>
          <w:color w:val="000000"/>
        </w:rPr>
        <w:t xml:space="preserve">financial accounting to emissions: each product carries a cradle-to-gate emissions balance that transfers with it on sale, is inherited by the buyer, and is auditable against primary records rather than reconstructed from averages. E-ledgers </w:t>
      </w:r>
      <w:r>
        <w:t>allows primary data to seamlessly</w:t>
      </w:r>
      <w:r>
        <w:rPr>
          <w:color w:val="000000"/>
        </w:rPr>
        <w:t xml:space="preserve"> transfer through even the most complex of value chains. The same </w:t>
      </w:r>
      <w:r>
        <w:t xml:space="preserve">architecture also extends to removal offsets, creating a way to account for verified carbon removals alongside emissions as the EU develops its carbon-removals framework and considers the role for domestic permanent removals. </w:t>
      </w:r>
      <w:r>
        <w:rPr>
          <w:color w:val="000000"/>
        </w:rPr>
        <w:t>The approach has been piloted by leading companies including BMW Group, Tata Steel, Heidelberg Materials and Hitachi Energy, and underlies the work of the Technical Expert Panel on Carbon Accounting co-established by the International Chamber of Commerce.</w:t>
      </w:r>
    </w:p>
    <w:p w14:paraId="67E41C58" w14:textId="77777777" w:rsidR="00AB6E37" w:rsidRDefault="00000000">
      <w:pPr>
        <w:pStyle w:val="Heading2"/>
        <w:spacing w:before="320" w:after="140"/>
        <w:rPr>
          <w:color w:val="000000"/>
        </w:rPr>
      </w:pPr>
      <w:r>
        <w:rPr>
          <w:b/>
          <w:bCs/>
          <w:color w:val="000000"/>
          <w:sz w:val="24"/>
          <w:szCs w:val="24"/>
        </w:rPr>
        <w:t>Purpose</w:t>
      </w:r>
    </w:p>
    <w:p w14:paraId="352045B2" w14:textId="77777777" w:rsidR="00AB6E37" w:rsidRDefault="00000000" w:rsidP="00062408">
      <w:pPr>
        <w:spacing w:after="160" w:line="264" w:lineRule="auto"/>
        <w:jc w:val="both"/>
        <w:rPr>
          <w:color w:val="000000"/>
        </w:rPr>
      </w:pPr>
      <w:r>
        <w:t>Co-hosted by the ERCST and E-ledgers Institute, t</w:t>
      </w:r>
      <w:r>
        <w:rPr>
          <w:color w:val="000000"/>
        </w:rPr>
        <w:t xml:space="preserve">his learning event </w:t>
      </w:r>
      <w:r>
        <w:t xml:space="preserve">will examine whether and how ledger-based carbon accounting can complement Europe’s existing policy toolkit through </w:t>
      </w:r>
      <w:r>
        <w:rPr>
          <w:color w:val="000000"/>
        </w:rPr>
        <w:t>implementing rigorous product-level emissions accounting within the European market</w:t>
      </w:r>
      <w:r>
        <w:t xml:space="preserve"> and </w:t>
      </w:r>
      <w:r>
        <w:rPr>
          <w:color w:val="000000"/>
        </w:rPr>
        <w:t>introduc</w:t>
      </w:r>
      <w:r>
        <w:t>ing</w:t>
      </w:r>
      <w:r>
        <w:rPr>
          <w:color w:val="000000"/>
        </w:rPr>
        <w:t xml:space="preserve"> the E-ledgers framework</w:t>
      </w:r>
      <w:r>
        <w:t xml:space="preserve"> </w:t>
      </w:r>
      <w:r>
        <w:rPr>
          <w:color w:val="000000"/>
        </w:rPr>
        <w:t>to facilitate auditable, transaction-based emissions reporting. The workshop will explore how E-le</w:t>
      </w:r>
      <w:r>
        <w:t xml:space="preserve">dgers could support priorities that are central to the European agenda, including accelerating decarbonization while protecting industrial competitiveness, </w:t>
      </w:r>
      <w:r>
        <w:lastRenderedPageBreak/>
        <w:t>simplifying and harmonizing carbon-accounting practices, improving the quality of mandatory disclosure, and strengthening the integrity of emissions and removals data. ERCST contributes its extensive institutional and knowledge leadership to this initiative, facilitating an in-depth exploration of ledger-based accounting within the European context and fostering critical dialogue and collaboration among European stakeholders.</w:t>
      </w:r>
      <w:r>
        <w:rPr>
          <w:color w:val="000000"/>
        </w:rPr>
        <w:t xml:space="preserve"> This event is designed as a multi-way exchange:</w:t>
      </w:r>
    </w:p>
    <w:p w14:paraId="321E7C75" w14:textId="77777777" w:rsidR="00AB6E37" w:rsidRDefault="00000000" w:rsidP="00062408">
      <w:pPr>
        <w:numPr>
          <w:ilvl w:val="0"/>
          <w:numId w:val="1"/>
        </w:numPr>
        <w:pBdr>
          <w:top w:val="nil"/>
          <w:left w:val="nil"/>
          <w:bottom w:val="nil"/>
          <w:right w:val="nil"/>
          <w:between w:val="nil"/>
        </w:pBdr>
        <w:spacing w:after="110" w:line="264" w:lineRule="auto"/>
        <w:jc w:val="both"/>
      </w:pPr>
      <w:r>
        <w:rPr>
          <w:b/>
          <w:bCs/>
          <w:color w:val="000000"/>
        </w:rPr>
        <w:t xml:space="preserve">Learning. </w:t>
      </w:r>
      <w:r>
        <w:rPr>
          <w:color w:val="000000"/>
        </w:rPr>
        <w:t>Participants work through how E-ledgers carbon accounting operates in practice, including a technical treatment of the E-liability and E-asset proto-standards and implementation case studies.</w:t>
      </w:r>
    </w:p>
    <w:p w14:paraId="56995039" w14:textId="77777777" w:rsidR="00AB6E37" w:rsidRDefault="00000000" w:rsidP="00062408">
      <w:pPr>
        <w:numPr>
          <w:ilvl w:val="0"/>
          <w:numId w:val="1"/>
        </w:numPr>
        <w:pBdr>
          <w:top w:val="nil"/>
          <w:left w:val="nil"/>
          <w:bottom w:val="nil"/>
          <w:right w:val="nil"/>
          <w:between w:val="nil"/>
        </w:pBdr>
        <w:spacing w:after="110" w:line="264" w:lineRule="auto"/>
        <w:jc w:val="both"/>
      </w:pPr>
      <w:r>
        <w:rPr>
          <w:b/>
          <w:bCs/>
          <w:color w:val="000000"/>
        </w:rPr>
        <w:t xml:space="preserve">Testing against the European context. </w:t>
      </w:r>
      <w:r>
        <w:rPr>
          <w:color w:val="000000"/>
        </w:rPr>
        <w:t>The approach is examined against the instruments that actually govern European industry (CBAM, ESPR and the D</w:t>
      </w:r>
      <w:r>
        <w:t>PP</w:t>
      </w:r>
      <w:r>
        <w:rPr>
          <w:color w:val="000000"/>
        </w:rPr>
        <w:t>, the Batteries and Methane Regulations, and corporate reporting after the Omnibus) to establish where it fits and where it may be adapted.</w:t>
      </w:r>
    </w:p>
    <w:p w14:paraId="52A76BA1" w14:textId="77777777" w:rsidR="00AB6E37" w:rsidRDefault="00000000" w:rsidP="00062408">
      <w:pPr>
        <w:numPr>
          <w:ilvl w:val="0"/>
          <w:numId w:val="1"/>
        </w:numPr>
        <w:pBdr>
          <w:top w:val="nil"/>
          <w:left w:val="nil"/>
          <w:bottom w:val="nil"/>
          <w:right w:val="nil"/>
          <w:between w:val="nil"/>
        </w:pBdr>
        <w:spacing w:after="110" w:line="264" w:lineRule="auto"/>
        <w:jc w:val="both"/>
      </w:pPr>
      <w:r>
        <w:rPr>
          <w:b/>
          <w:bCs/>
          <w:color w:val="000000"/>
        </w:rPr>
        <w:t xml:space="preserve">Listening. </w:t>
      </w:r>
      <w:r>
        <w:rPr>
          <w:color w:val="000000"/>
        </w:rPr>
        <w:t xml:space="preserve">A candid forum for European industry, researchers, and officials to bring questions to the table: smaller suppliers, verification capacity, interoperability with existing product carbon footprint methods, and the sequencing question of introducing a robust accounting layer. </w:t>
      </w:r>
    </w:p>
    <w:p w14:paraId="7BD8DFEB" w14:textId="77777777" w:rsidR="00AB6E37" w:rsidRDefault="00000000">
      <w:pPr>
        <w:pStyle w:val="Heading2"/>
        <w:spacing w:before="320" w:after="140"/>
        <w:rPr>
          <w:color w:val="000000"/>
        </w:rPr>
      </w:pPr>
      <w:r>
        <w:rPr>
          <w:b/>
          <w:bCs/>
          <w:color w:val="000000"/>
          <w:sz w:val="24"/>
          <w:szCs w:val="24"/>
        </w:rPr>
        <w:t>Format</w:t>
      </w:r>
    </w:p>
    <w:p w14:paraId="4A1331CE" w14:textId="77777777" w:rsidR="00AB6E37" w:rsidRDefault="00000000" w:rsidP="00062408">
      <w:pPr>
        <w:spacing w:after="160" w:line="264" w:lineRule="auto"/>
        <w:jc w:val="both"/>
      </w:pPr>
      <w:r>
        <w:rPr>
          <w:color w:val="000000"/>
        </w:rPr>
        <w:t xml:space="preserve">An invitation-only workshop of roughly </w:t>
      </w:r>
      <w:r>
        <w:t>two</w:t>
      </w:r>
      <w:r>
        <w:rPr>
          <w:color w:val="000000"/>
        </w:rPr>
        <w:t xml:space="preserve"> hours under the Chatham House Rule. Attendance is capped at approximately 30. Short framings open each session; the majority of the time is facilitated discussion</w:t>
      </w:r>
      <w:r>
        <w:t>.</w:t>
      </w:r>
    </w:p>
    <w:p w14:paraId="5D6A9A34" w14:textId="77777777" w:rsidR="00AB6E37" w:rsidRDefault="00000000">
      <w:pPr>
        <w:pStyle w:val="Heading2"/>
        <w:spacing w:before="320" w:after="140"/>
        <w:rPr>
          <w:color w:val="000000"/>
        </w:rPr>
      </w:pPr>
      <w:r>
        <w:rPr>
          <w:b/>
          <w:bCs/>
          <w:color w:val="000000"/>
          <w:sz w:val="24"/>
          <w:szCs w:val="24"/>
        </w:rPr>
        <w:t>Draft Agenda</w:t>
      </w:r>
    </w:p>
    <w:p w14:paraId="5DAAAC15" w14:textId="77777777" w:rsidR="00AB6E37" w:rsidRDefault="00AB6E37"/>
    <w:tbl>
      <w:tblPr>
        <w:tblStyle w:val="a"/>
        <w:tblW w:w="8926" w:type="dxa"/>
        <w:tblBorders>
          <w:top w:val="single" w:sz="4" w:space="0" w:color="BFBFBF"/>
          <w:left w:val="single" w:sz="4" w:space="0" w:color="BFBFBF"/>
          <w:bottom w:val="single" w:sz="4" w:space="0" w:color="BFBFBF"/>
          <w:right w:val="single" w:sz="4" w:space="0" w:color="BFBFBF"/>
          <w:insideH w:val="single" w:sz="4" w:space="0" w:color="D9D9D9"/>
          <w:insideV w:val="single" w:sz="4" w:space="0" w:color="D9D9D9"/>
        </w:tblBorders>
        <w:tblLayout w:type="fixed"/>
        <w:tblLook w:val="0600" w:firstRow="0" w:lastRow="0" w:firstColumn="0" w:lastColumn="0" w:noHBand="1" w:noVBand="1"/>
      </w:tblPr>
      <w:tblGrid>
        <w:gridCol w:w="1250"/>
        <w:gridCol w:w="2900"/>
        <w:gridCol w:w="4776"/>
      </w:tblGrid>
      <w:tr w:rsidR="00AB6E37" w14:paraId="592E5E87" w14:textId="77777777">
        <w:trPr>
          <w:tblHeader/>
        </w:trPr>
        <w:tc>
          <w:tcPr>
            <w:tcW w:w="1250" w:type="dxa"/>
            <w:shd w:val="clear" w:color="auto" w:fill="43A44D"/>
            <w:tcMar>
              <w:top w:w="60" w:type="dxa"/>
              <w:left w:w="110" w:type="dxa"/>
              <w:bottom w:w="60" w:type="dxa"/>
              <w:right w:w="110" w:type="dxa"/>
            </w:tcMar>
          </w:tcPr>
          <w:p w14:paraId="779890BF" w14:textId="77777777" w:rsidR="00AB6E37" w:rsidRDefault="00000000">
            <w:pPr>
              <w:spacing w:before="60" w:after="60" w:line="264" w:lineRule="auto"/>
            </w:pPr>
            <w:r>
              <w:rPr>
                <w:b/>
                <w:bCs/>
                <w:color w:val="FFFFFF"/>
                <w:sz w:val="19"/>
                <w:szCs w:val="19"/>
              </w:rPr>
              <w:t>Time (CET)</w:t>
            </w:r>
          </w:p>
        </w:tc>
        <w:tc>
          <w:tcPr>
            <w:tcW w:w="2900" w:type="dxa"/>
            <w:shd w:val="clear" w:color="auto" w:fill="43A44D"/>
            <w:tcMar>
              <w:top w:w="60" w:type="dxa"/>
              <w:left w:w="110" w:type="dxa"/>
              <w:bottom w:w="60" w:type="dxa"/>
              <w:right w:w="110" w:type="dxa"/>
            </w:tcMar>
          </w:tcPr>
          <w:p w14:paraId="32F5D78A" w14:textId="77777777" w:rsidR="00AB6E37" w:rsidRDefault="00000000">
            <w:pPr>
              <w:spacing w:before="60" w:after="60" w:line="264" w:lineRule="auto"/>
            </w:pPr>
            <w:r>
              <w:rPr>
                <w:b/>
                <w:bCs/>
                <w:color w:val="FFFFFF"/>
                <w:sz w:val="19"/>
                <w:szCs w:val="19"/>
              </w:rPr>
              <w:t>Session</w:t>
            </w:r>
          </w:p>
        </w:tc>
        <w:tc>
          <w:tcPr>
            <w:tcW w:w="4776" w:type="dxa"/>
            <w:shd w:val="clear" w:color="auto" w:fill="43A44D"/>
            <w:tcMar>
              <w:top w:w="60" w:type="dxa"/>
              <w:left w:w="110" w:type="dxa"/>
              <w:bottom w:w="60" w:type="dxa"/>
              <w:right w:w="110" w:type="dxa"/>
            </w:tcMar>
          </w:tcPr>
          <w:p w14:paraId="1C5A8F0B" w14:textId="77777777" w:rsidR="00AB6E37" w:rsidRDefault="00000000">
            <w:pPr>
              <w:spacing w:before="60" w:after="60" w:line="264" w:lineRule="auto"/>
            </w:pPr>
            <w:r>
              <w:rPr>
                <w:b/>
                <w:bCs/>
                <w:color w:val="FFFFFF"/>
                <w:sz w:val="19"/>
                <w:szCs w:val="19"/>
              </w:rPr>
              <w:t>Description</w:t>
            </w:r>
          </w:p>
        </w:tc>
      </w:tr>
      <w:tr w:rsidR="00AB6E37" w14:paraId="48E4997A" w14:textId="77777777">
        <w:tc>
          <w:tcPr>
            <w:tcW w:w="1250" w:type="dxa"/>
            <w:tcMar>
              <w:top w:w="60" w:type="dxa"/>
              <w:left w:w="110" w:type="dxa"/>
              <w:bottom w:w="60" w:type="dxa"/>
              <w:right w:w="110" w:type="dxa"/>
            </w:tcMar>
          </w:tcPr>
          <w:p w14:paraId="62ED5076" w14:textId="77777777" w:rsidR="00AB6E37" w:rsidRDefault="00000000">
            <w:pPr>
              <w:spacing w:before="60" w:after="60" w:line="264" w:lineRule="auto"/>
              <w:rPr>
                <w:color w:val="000000"/>
                <w:sz w:val="19"/>
                <w:szCs w:val="19"/>
              </w:rPr>
            </w:pPr>
            <w:r>
              <w:rPr>
                <w:sz w:val="19"/>
                <w:szCs w:val="19"/>
              </w:rPr>
              <w:t>14:00</w:t>
            </w:r>
          </w:p>
        </w:tc>
        <w:tc>
          <w:tcPr>
            <w:tcW w:w="2900" w:type="dxa"/>
            <w:tcMar>
              <w:top w:w="60" w:type="dxa"/>
              <w:left w:w="110" w:type="dxa"/>
              <w:bottom w:w="60" w:type="dxa"/>
              <w:right w:w="110" w:type="dxa"/>
            </w:tcMar>
          </w:tcPr>
          <w:p w14:paraId="45349C87" w14:textId="77777777" w:rsidR="00AB6E37" w:rsidRDefault="00000000">
            <w:pPr>
              <w:spacing w:before="60" w:after="60" w:line="264" w:lineRule="auto"/>
              <w:rPr>
                <w:b/>
                <w:bCs/>
                <w:sz w:val="19"/>
                <w:szCs w:val="19"/>
              </w:rPr>
            </w:pPr>
            <w:r>
              <w:rPr>
                <w:b/>
                <w:bCs/>
                <w:sz w:val="19"/>
                <w:szCs w:val="19"/>
              </w:rPr>
              <w:t>Arrival and Refreshments</w:t>
            </w:r>
          </w:p>
          <w:p w14:paraId="0E65C2D5" w14:textId="77777777" w:rsidR="00AB6E37" w:rsidRDefault="00000000">
            <w:pPr>
              <w:spacing w:before="60" w:after="60" w:line="264" w:lineRule="auto"/>
              <w:rPr>
                <w:b/>
                <w:bCs/>
                <w:sz w:val="19"/>
                <w:szCs w:val="19"/>
              </w:rPr>
            </w:pPr>
            <w:r>
              <w:rPr>
                <w:i/>
                <w:iCs/>
                <w:color w:val="595959"/>
                <w:sz w:val="19"/>
                <w:szCs w:val="19"/>
              </w:rPr>
              <w:t>15 mins</w:t>
            </w:r>
          </w:p>
        </w:tc>
        <w:tc>
          <w:tcPr>
            <w:tcW w:w="4776" w:type="dxa"/>
            <w:tcMar>
              <w:top w:w="60" w:type="dxa"/>
              <w:left w:w="110" w:type="dxa"/>
              <w:bottom w:w="60" w:type="dxa"/>
              <w:right w:w="110" w:type="dxa"/>
            </w:tcMar>
          </w:tcPr>
          <w:p w14:paraId="70F02C69" w14:textId="77777777" w:rsidR="00AB6E37" w:rsidRDefault="00000000">
            <w:pPr>
              <w:spacing w:before="60" w:after="60" w:line="264" w:lineRule="auto"/>
              <w:rPr>
                <w:color w:val="000000"/>
                <w:sz w:val="19"/>
                <w:szCs w:val="19"/>
              </w:rPr>
            </w:pPr>
            <w:r>
              <w:rPr>
                <w:sz w:val="19"/>
                <w:szCs w:val="19"/>
              </w:rPr>
              <w:t>Registration and informal conversation.</w:t>
            </w:r>
          </w:p>
        </w:tc>
      </w:tr>
      <w:tr w:rsidR="00AB6E37" w14:paraId="052F5C36" w14:textId="77777777">
        <w:tc>
          <w:tcPr>
            <w:tcW w:w="1250" w:type="dxa"/>
            <w:tcMar>
              <w:top w:w="60" w:type="dxa"/>
              <w:left w:w="110" w:type="dxa"/>
              <w:bottom w:w="60" w:type="dxa"/>
              <w:right w:w="110" w:type="dxa"/>
            </w:tcMar>
          </w:tcPr>
          <w:p w14:paraId="04E0B55D" w14:textId="77777777" w:rsidR="00AB6E37" w:rsidRDefault="00000000">
            <w:pPr>
              <w:spacing w:before="60" w:after="60" w:line="264" w:lineRule="auto"/>
              <w:rPr>
                <w:color w:val="000000"/>
                <w:sz w:val="19"/>
                <w:szCs w:val="19"/>
              </w:rPr>
            </w:pPr>
            <w:r>
              <w:rPr>
                <w:sz w:val="19"/>
                <w:szCs w:val="19"/>
              </w:rPr>
              <w:t>14:15</w:t>
            </w:r>
          </w:p>
        </w:tc>
        <w:tc>
          <w:tcPr>
            <w:tcW w:w="2900" w:type="dxa"/>
            <w:tcMar>
              <w:top w:w="60" w:type="dxa"/>
              <w:left w:w="110" w:type="dxa"/>
              <w:bottom w:w="60" w:type="dxa"/>
              <w:right w:w="110" w:type="dxa"/>
            </w:tcMar>
          </w:tcPr>
          <w:p w14:paraId="3B9A74AC" w14:textId="77777777" w:rsidR="00AB6E37" w:rsidRDefault="00000000">
            <w:pPr>
              <w:spacing w:before="60" w:after="60" w:line="264" w:lineRule="auto"/>
              <w:rPr>
                <w:b/>
                <w:bCs/>
                <w:sz w:val="19"/>
                <w:szCs w:val="19"/>
              </w:rPr>
            </w:pPr>
            <w:r>
              <w:rPr>
                <w:b/>
                <w:bCs/>
                <w:sz w:val="19"/>
                <w:szCs w:val="19"/>
              </w:rPr>
              <w:t>Welcome and Framing</w:t>
            </w:r>
          </w:p>
          <w:p w14:paraId="2F7AB3B1" w14:textId="77777777" w:rsidR="00AB6E37" w:rsidRDefault="00000000">
            <w:pPr>
              <w:spacing w:before="60" w:after="60" w:line="264" w:lineRule="auto"/>
              <w:rPr>
                <w:b/>
                <w:bCs/>
                <w:sz w:val="19"/>
                <w:szCs w:val="19"/>
              </w:rPr>
            </w:pPr>
            <w:r>
              <w:rPr>
                <w:i/>
                <w:iCs/>
                <w:color w:val="595959"/>
                <w:sz w:val="19"/>
                <w:szCs w:val="19"/>
              </w:rPr>
              <w:t>10 mins</w:t>
            </w:r>
          </w:p>
        </w:tc>
        <w:tc>
          <w:tcPr>
            <w:tcW w:w="4776" w:type="dxa"/>
            <w:tcMar>
              <w:top w:w="60" w:type="dxa"/>
              <w:left w:w="110" w:type="dxa"/>
              <w:bottom w:w="60" w:type="dxa"/>
              <w:right w:w="110" w:type="dxa"/>
            </w:tcMar>
          </w:tcPr>
          <w:p w14:paraId="114C528A" w14:textId="77777777" w:rsidR="00AB6E37" w:rsidRDefault="00000000">
            <w:pPr>
              <w:spacing w:before="60" w:after="60" w:line="264" w:lineRule="auto"/>
              <w:rPr>
                <w:sz w:val="19"/>
                <w:szCs w:val="19"/>
              </w:rPr>
            </w:pPr>
            <w:r>
              <w:rPr>
                <w:sz w:val="19"/>
                <w:szCs w:val="19"/>
              </w:rPr>
              <w:t>Introductions and opening remarks</w:t>
            </w:r>
          </w:p>
          <w:p w14:paraId="38072551" w14:textId="77777777" w:rsidR="00AB6E37" w:rsidRDefault="00000000">
            <w:pPr>
              <w:spacing w:before="60" w:after="60" w:line="264" w:lineRule="auto"/>
              <w:rPr>
                <w:sz w:val="19"/>
                <w:szCs w:val="19"/>
              </w:rPr>
            </w:pPr>
            <w:r>
              <w:rPr>
                <w:sz w:val="19"/>
                <w:szCs w:val="19"/>
              </w:rPr>
              <w:t>Presenter: Andrei Marcu (ERCST)</w:t>
            </w:r>
          </w:p>
        </w:tc>
      </w:tr>
      <w:tr w:rsidR="00AB6E37" w14:paraId="51D727BC" w14:textId="77777777">
        <w:tc>
          <w:tcPr>
            <w:tcW w:w="1250" w:type="dxa"/>
            <w:tcMar>
              <w:top w:w="60" w:type="dxa"/>
              <w:left w:w="110" w:type="dxa"/>
              <w:bottom w:w="60" w:type="dxa"/>
              <w:right w:w="110" w:type="dxa"/>
            </w:tcMar>
          </w:tcPr>
          <w:p w14:paraId="04F1378C" w14:textId="77777777" w:rsidR="00AB6E37" w:rsidRDefault="00000000">
            <w:pPr>
              <w:spacing w:before="60" w:after="60" w:line="264" w:lineRule="auto"/>
            </w:pPr>
            <w:r>
              <w:rPr>
                <w:color w:val="000000"/>
                <w:sz w:val="19"/>
                <w:szCs w:val="19"/>
              </w:rPr>
              <w:t>14:</w:t>
            </w:r>
            <w:r>
              <w:rPr>
                <w:sz w:val="19"/>
                <w:szCs w:val="19"/>
              </w:rPr>
              <w:t>25</w:t>
            </w:r>
          </w:p>
        </w:tc>
        <w:tc>
          <w:tcPr>
            <w:tcW w:w="2900" w:type="dxa"/>
            <w:tcMar>
              <w:top w:w="60" w:type="dxa"/>
              <w:left w:w="110" w:type="dxa"/>
              <w:bottom w:w="60" w:type="dxa"/>
              <w:right w:w="110" w:type="dxa"/>
            </w:tcMar>
          </w:tcPr>
          <w:p w14:paraId="34ECA49E" w14:textId="77777777" w:rsidR="00AB6E37" w:rsidRDefault="00000000">
            <w:pPr>
              <w:spacing w:before="60" w:after="60" w:line="264" w:lineRule="auto"/>
            </w:pPr>
            <w:r>
              <w:rPr>
                <w:b/>
                <w:bCs/>
                <w:color w:val="000000"/>
                <w:sz w:val="19"/>
                <w:szCs w:val="19"/>
              </w:rPr>
              <w:t xml:space="preserve">Session I: Strategic </w:t>
            </w:r>
            <w:r>
              <w:rPr>
                <w:b/>
                <w:bCs/>
                <w:sz w:val="19"/>
                <w:szCs w:val="19"/>
              </w:rPr>
              <w:t xml:space="preserve">Context and </w:t>
            </w:r>
            <w:r>
              <w:rPr>
                <w:b/>
                <w:bCs/>
                <w:color w:val="000000"/>
                <w:sz w:val="19"/>
                <w:szCs w:val="19"/>
              </w:rPr>
              <w:t xml:space="preserve">Rationale </w:t>
            </w:r>
            <w:r>
              <w:rPr>
                <w:b/>
                <w:bCs/>
                <w:sz w:val="19"/>
                <w:szCs w:val="19"/>
              </w:rPr>
              <w:t>for E-ledgers Framework</w:t>
            </w:r>
          </w:p>
          <w:p w14:paraId="7574020F" w14:textId="77777777" w:rsidR="00AB6E37" w:rsidRDefault="00000000">
            <w:pPr>
              <w:spacing w:before="60" w:after="60" w:line="264" w:lineRule="auto"/>
            </w:pPr>
            <w:r>
              <w:rPr>
                <w:i/>
                <w:iCs/>
                <w:color w:val="595959"/>
                <w:sz w:val="19"/>
                <w:szCs w:val="19"/>
              </w:rPr>
              <w:t>10 mins</w:t>
            </w:r>
          </w:p>
        </w:tc>
        <w:tc>
          <w:tcPr>
            <w:tcW w:w="4776" w:type="dxa"/>
            <w:tcMar>
              <w:top w:w="60" w:type="dxa"/>
              <w:left w:w="110" w:type="dxa"/>
              <w:bottom w:w="60" w:type="dxa"/>
              <w:right w:w="110" w:type="dxa"/>
            </w:tcMar>
          </w:tcPr>
          <w:p w14:paraId="7E7FF048" w14:textId="77777777" w:rsidR="00AB6E37" w:rsidRDefault="00000000">
            <w:pPr>
              <w:spacing w:before="60" w:after="60" w:line="264" w:lineRule="auto"/>
              <w:rPr>
                <w:sz w:val="19"/>
                <w:szCs w:val="19"/>
              </w:rPr>
            </w:pPr>
            <w:r>
              <w:rPr>
                <w:sz w:val="19"/>
                <w:szCs w:val="19"/>
              </w:rPr>
              <w:t>Presenter: Prof. Karthik Ramanna.</w:t>
            </w:r>
          </w:p>
          <w:p w14:paraId="0D31FD82" w14:textId="77777777" w:rsidR="00AB6E37" w:rsidRDefault="00000000">
            <w:pPr>
              <w:spacing w:before="60" w:after="60" w:line="264" w:lineRule="auto"/>
            </w:pPr>
            <w:r>
              <w:rPr>
                <w:color w:val="000000"/>
                <w:sz w:val="19"/>
                <w:szCs w:val="19"/>
              </w:rPr>
              <w:t>Why this matters: Understanding the granular requirements of emerging trade</w:t>
            </w:r>
            <w:r>
              <w:rPr>
                <w:sz w:val="19"/>
                <w:szCs w:val="19"/>
              </w:rPr>
              <w:t xml:space="preserve">, </w:t>
            </w:r>
            <w:r>
              <w:rPr>
                <w:color w:val="000000"/>
                <w:sz w:val="19"/>
                <w:szCs w:val="19"/>
              </w:rPr>
              <w:t>industrial, and climate polic</w:t>
            </w:r>
            <w:r>
              <w:rPr>
                <w:sz w:val="19"/>
                <w:szCs w:val="19"/>
              </w:rPr>
              <w:t>ies</w:t>
            </w:r>
            <w:r>
              <w:rPr>
                <w:color w:val="000000"/>
                <w:sz w:val="19"/>
                <w:szCs w:val="19"/>
              </w:rPr>
              <w:t xml:space="preserve"> in the EU</w:t>
            </w:r>
            <w:r>
              <w:rPr>
                <w:sz w:val="19"/>
                <w:szCs w:val="19"/>
              </w:rPr>
              <w:t>, and</w:t>
            </w:r>
            <w:r>
              <w:rPr>
                <w:color w:val="000000"/>
                <w:sz w:val="19"/>
                <w:szCs w:val="19"/>
              </w:rPr>
              <w:t xml:space="preserve"> </w:t>
            </w:r>
            <w:r>
              <w:rPr>
                <w:sz w:val="19"/>
                <w:szCs w:val="19"/>
              </w:rPr>
              <w:t>h</w:t>
            </w:r>
            <w:r>
              <w:rPr>
                <w:color w:val="000000"/>
                <w:sz w:val="19"/>
                <w:szCs w:val="19"/>
              </w:rPr>
              <w:t xml:space="preserve">ow E-ledgers </w:t>
            </w:r>
            <w:r>
              <w:rPr>
                <w:sz w:val="19"/>
                <w:szCs w:val="19"/>
              </w:rPr>
              <w:t>methodology helps to navigate them.</w:t>
            </w:r>
          </w:p>
        </w:tc>
      </w:tr>
      <w:tr w:rsidR="00AB6E37" w14:paraId="6CB9049F" w14:textId="77777777">
        <w:tc>
          <w:tcPr>
            <w:tcW w:w="1250" w:type="dxa"/>
            <w:tcMar>
              <w:top w:w="60" w:type="dxa"/>
              <w:left w:w="110" w:type="dxa"/>
              <w:bottom w:w="60" w:type="dxa"/>
              <w:right w:w="110" w:type="dxa"/>
            </w:tcMar>
          </w:tcPr>
          <w:p w14:paraId="461C4A63" w14:textId="77777777" w:rsidR="00AB6E37" w:rsidRDefault="00000000">
            <w:pPr>
              <w:spacing w:before="60" w:after="60" w:line="264" w:lineRule="auto"/>
            </w:pPr>
            <w:r>
              <w:rPr>
                <w:sz w:val="19"/>
                <w:szCs w:val="19"/>
              </w:rPr>
              <w:t>14</w:t>
            </w:r>
            <w:r>
              <w:rPr>
                <w:color w:val="000000"/>
                <w:sz w:val="19"/>
                <w:szCs w:val="19"/>
              </w:rPr>
              <w:t>:</w:t>
            </w:r>
            <w:r>
              <w:rPr>
                <w:sz w:val="19"/>
                <w:szCs w:val="19"/>
              </w:rPr>
              <w:t>35</w:t>
            </w:r>
          </w:p>
        </w:tc>
        <w:tc>
          <w:tcPr>
            <w:tcW w:w="2900" w:type="dxa"/>
            <w:tcMar>
              <w:top w:w="60" w:type="dxa"/>
              <w:left w:w="110" w:type="dxa"/>
              <w:bottom w:w="60" w:type="dxa"/>
              <w:right w:w="110" w:type="dxa"/>
            </w:tcMar>
          </w:tcPr>
          <w:p w14:paraId="465E91CE" w14:textId="77777777" w:rsidR="00AB6E37" w:rsidRDefault="00000000">
            <w:pPr>
              <w:spacing w:before="60" w:after="60" w:line="264" w:lineRule="auto"/>
            </w:pPr>
            <w:r>
              <w:rPr>
                <w:b/>
                <w:bCs/>
                <w:color w:val="000000"/>
                <w:sz w:val="19"/>
                <w:szCs w:val="19"/>
              </w:rPr>
              <w:t xml:space="preserve">Session II: Methodology </w:t>
            </w:r>
            <w:r>
              <w:rPr>
                <w:b/>
                <w:bCs/>
                <w:sz w:val="19"/>
                <w:szCs w:val="19"/>
              </w:rPr>
              <w:t>and Q&amp;A</w:t>
            </w:r>
          </w:p>
          <w:p w14:paraId="350C5D82" w14:textId="77777777" w:rsidR="00AB6E37" w:rsidRDefault="00000000">
            <w:pPr>
              <w:spacing w:before="60" w:after="60" w:line="264" w:lineRule="auto"/>
            </w:pPr>
            <w:r>
              <w:rPr>
                <w:i/>
                <w:iCs/>
                <w:color w:val="595959"/>
                <w:sz w:val="19"/>
                <w:szCs w:val="19"/>
              </w:rPr>
              <w:t>25 mins</w:t>
            </w:r>
          </w:p>
        </w:tc>
        <w:tc>
          <w:tcPr>
            <w:tcW w:w="4776" w:type="dxa"/>
            <w:tcMar>
              <w:top w:w="60" w:type="dxa"/>
              <w:left w:w="110" w:type="dxa"/>
              <w:bottom w:w="60" w:type="dxa"/>
              <w:right w:w="110" w:type="dxa"/>
            </w:tcMar>
          </w:tcPr>
          <w:p w14:paraId="366C1D9E" w14:textId="77777777" w:rsidR="00AB6E37" w:rsidRDefault="00000000">
            <w:pPr>
              <w:spacing w:before="60" w:after="60" w:line="264" w:lineRule="auto"/>
            </w:pPr>
            <w:r>
              <w:rPr>
                <w:color w:val="000000"/>
                <w:sz w:val="19"/>
                <w:szCs w:val="19"/>
              </w:rPr>
              <w:t>What the method is: Technical treatment of the E-liability and E-asset proto-standards, including implementation case studies from pilot companies.</w:t>
            </w:r>
          </w:p>
        </w:tc>
      </w:tr>
      <w:tr w:rsidR="00AB6E37" w14:paraId="33D8ADA2" w14:textId="77777777">
        <w:tc>
          <w:tcPr>
            <w:tcW w:w="1250" w:type="dxa"/>
            <w:tcMar>
              <w:top w:w="60" w:type="dxa"/>
              <w:left w:w="110" w:type="dxa"/>
              <w:bottom w:w="60" w:type="dxa"/>
              <w:right w:w="110" w:type="dxa"/>
            </w:tcMar>
          </w:tcPr>
          <w:p w14:paraId="10F339E1" w14:textId="77777777" w:rsidR="00AB6E37" w:rsidRDefault="00000000">
            <w:pPr>
              <w:spacing w:before="60" w:after="60" w:line="264" w:lineRule="auto"/>
            </w:pPr>
            <w:r>
              <w:rPr>
                <w:color w:val="000000"/>
                <w:sz w:val="19"/>
                <w:szCs w:val="19"/>
              </w:rPr>
              <w:t>15:</w:t>
            </w:r>
            <w:r>
              <w:rPr>
                <w:sz w:val="19"/>
                <w:szCs w:val="19"/>
              </w:rPr>
              <w:t>00</w:t>
            </w:r>
          </w:p>
        </w:tc>
        <w:tc>
          <w:tcPr>
            <w:tcW w:w="2900" w:type="dxa"/>
            <w:tcMar>
              <w:top w:w="60" w:type="dxa"/>
              <w:left w:w="110" w:type="dxa"/>
              <w:bottom w:w="60" w:type="dxa"/>
              <w:right w:w="110" w:type="dxa"/>
            </w:tcMar>
          </w:tcPr>
          <w:p w14:paraId="5E0038CA" w14:textId="77777777" w:rsidR="00AB6E37" w:rsidRPr="000F2DB1" w:rsidRDefault="00000000">
            <w:pPr>
              <w:spacing w:before="60" w:after="60" w:line="264" w:lineRule="auto"/>
              <w:rPr>
                <w:lang w:val="fr-BE"/>
              </w:rPr>
            </w:pPr>
            <w:r w:rsidRPr="000F2DB1">
              <w:rPr>
                <w:b/>
                <w:bCs/>
                <w:color w:val="000000"/>
                <w:sz w:val="19"/>
                <w:szCs w:val="19"/>
                <w:lang w:val="fr-BE"/>
              </w:rPr>
              <w:t xml:space="preserve">Session </w:t>
            </w:r>
            <w:proofErr w:type="gramStart"/>
            <w:r w:rsidRPr="000F2DB1">
              <w:rPr>
                <w:b/>
                <w:bCs/>
                <w:color w:val="000000"/>
                <w:sz w:val="19"/>
                <w:szCs w:val="19"/>
                <w:lang w:val="fr-BE"/>
              </w:rPr>
              <w:t>III:</w:t>
            </w:r>
            <w:proofErr w:type="gramEnd"/>
            <w:r w:rsidRPr="000F2DB1">
              <w:rPr>
                <w:b/>
                <w:bCs/>
                <w:color w:val="000000"/>
                <w:sz w:val="19"/>
                <w:szCs w:val="19"/>
                <w:lang w:val="fr-BE"/>
              </w:rPr>
              <w:t xml:space="preserve"> EU Policy Fit</w:t>
            </w:r>
          </w:p>
          <w:p w14:paraId="498F853C" w14:textId="77777777" w:rsidR="00AB6E37" w:rsidRPr="000F2DB1" w:rsidRDefault="00000000">
            <w:pPr>
              <w:spacing w:before="60" w:after="60" w:line="264" w:lineRule="auto"/>
              <w:rPr>
                <w:lang w:val="fr-BE"/>
              </w:rPr>
            </w:pPr>
            <w:r w:rsidRPr="000F2DB1">
              <w:rPr>
                <w:i/>
                <w:iCs/>
                <w:color w:val="595959"/>
                <w:sz w:val="19"/>
                <w:szCs w:val="19"/>
                <w:lang w:val="fr-BE"/>
              </w:rPr>
              <w:t>50 mins</w:t>
            </w:r>
          </w:p>
        </w:tc>
        <w:tc>
          <w:tcPr>
            <w:tcW w:w="4776" w:type="dxa"/>
            <w:tcMar>
              <w:top w:w="60" w:type="dxa"/>
              <w:left w:w="110" w:type="dxa"/>
              <w:bottom w:w="60" w:type="dxa"/>
              <w:right w:w="110" w:type="dxa"/>
            </w:tcMar>
          </w:tcPr>
          <w:p w14:paraId="21F71F32" w14:textId="77777777" w:rsidR="00AB6E37" w:rsidRDefault="00000000">
            <w:pPr>
              <w:spacing w:before="60" w:after="60" w:line="264" w:lineRule="auto"/>
              <w:rPr>
                <w:sz w:val="19"/>
                <w:szCs w:val="19"/>
              </w:rPr>
            </w:pPr>
            <w:r>
              <w:rPr>
                <w:sz w:val="19"/>
                <w:szCs w:val="19"/>
              </w:rPr>
              <w:t>Facilitator: Andrei Marcu (ERCST)</w:t>
            </w:r>
          </w:p>
          <w:p w14:paraId="2074972F" w14:textId="77777777" w:rsidR="00AB6E37" w:rsidRDefault="00000000">
            <w:pPr>
              <w:spacing w:before="60" w:after="60" w:line="264" w:lineRule="auto"/>
            </w:pPr>
            <w:r>
              <w:rPr>
                <w:color w:val="000000"/>
                <w:sz w:val="19"/>
                <w:szCs w:val="19"/>
              </w:rPr>
              <w:t xml:space="preserve">Tying into policy instruments and business </w:t>
            </w:r>
            <w:r>
              <w:rPr>
                <w:sz w:val="19"/>
                <w:szCs w:val="19"/>
              </w:rPr>
              <w:t>implementation</w:t>
            </w:r>
            <w:r>
              <w:rPr>
                <w:color w:val="000000"/>
                <w:sz w:val="19"/>
                <w:szCs w:val="19"/>
              </w:rPr>
              <w:t xml:space="preserve">: Facilitated discussion on fit with CBAM, ESPR/DPP, Methane/Batteries Regulations, carbon removals, and the practical needs of European </w:t>
            </w:r>
            <w:r>
              <w:rPr>
                <w:sz w:val="19"/>
                <w:szCs w:val="19"/>
              </w:rPr>
              <w:t>industry</w:t>
            </w:r>
            <w:r>
              <w:rPr>
                <w:color w:val="000000"/>
                <w:sz w:val="19"/>
                <w:szCs w:val="19"/>
              </w:rPr>
              <w:t>.</w:t>
            </w:r>
          </w:p>
        </w:tc>
      </w:tr>
      <w:tr w:rsidR="00AB6E37" w14:paraId="6389B377" w14:textId="77777777">
        <w:tc>
          <w:tcPr>
            <w:tcW w:w="1250" w:type="dxa"/>
            <w:tcMar>
              <w:top w:w="60" w:type="dxa"/>
              <w:left w:w="110" w:type="dxa"/>
              <w:bottom w:w="60" w:type="dxa"/>
              <w:right w:w="110" w:type="dxa"/>
            </w:tcMar>
          </w:tcPr>
          <w:p w14:paraId="1A89E53D" w14:textId="77777777" w:rsidR="00AB6E37" w:rsidRDefault="00000000">
            <w:pPr>
              <w:spacing w:before="60" w:after="60" w:line="264" w:lineRule="auto"/>
            </w:pPr>
            <w:r>
              <w:rPr>
                <w:color w:val="000000"/>
                <w:sz w:val="19"/>
                <w:szCs w:val="19"/>
              </w:rPr>
              <w:lastRenderedPageBreak/>
              <w:t>1</w:t>
            </w:r>
            <w:r>
              <w:rPr>
                <w:sz w:val="19"/>
                <w:szCs w:val="19"/>
              </w:rPr>
              <w:t>5</w:t>
            </w:r>
            <w:r>
              <w:rPr>
                <w:color w:val="000000"/>
                <w:sz w:val="19"/>
                <w:szCs w:val="19"/>
              </w:rPr>
              <w:t>:</w:t>
            </w:r>
            <w:r>
              <w:rPr>
                <w:sz w:val="19"/>
                <w:szCs w:val="19"/>
              </w:rPr>
              <w:t>5</w:t>
            </w:r>
            <w:r>
              <w:rPr>
                <w:color w:val="000000"/>
                <w:sz w:val="19"/>
                <w:szCs w:val="19"/>
              </w:rPr>
              <w:t>0</w:t>
            </w:r>
          </w:p>
        </w:tc>
        <w:tc>
          <w:tcPr>
            <w:tcW w:w="2900" w:type="dxa"/>
            <w:tcMar>
              <w:top w:w="60" w:type="dxa"/>
              <w:left w:w="110" w:type="dxa"/>
              <w:bottom w:w="60" w:type="dxa"/>
              <w:right w:w="110" w:type="dxa"/>
            </w:tcMar>
          </w:tcPr>
          <w:p w14:paraId="372C1048" w14:textId="77777777" w:rsidR="00AB6E37" w:rsidRDefault="00000000">
            <w:pPr>
              <w:spacing w:before="60" w:after="60" w:line="264" w:lineRule="auto"/>
              <w:rPr>
                <w:b/>
                <w:bCs/>
                <w:color w:val="000000"/>
                <w:sz w:val="19"/>
                <w:szCs w:val="19"/>
              </w:rPr>
            </w:pPr>
            <w:r>
              <w:rPr>
                <w:b/>
                <w:bCs/>
                <w:color w:val="000000"/>
                <w:sz w:val="19"/>
                <w:szCs w:val="19"/>
              </w:rPr>
              <w:t>Closing</w:t>
            </w:r>
          </w:p>
          <w:p w14:paraId="307959B2" w14:textId="77777777" w:rsidR="00AB6E37" w:rsidRDefault="00000000">
            <w:pPr>
              <w:spacing w:before="60" w:after="60" w:line="264" w:lineRule="auto"/>
              <w:rPr>
                <w:b/>
                <w:bCs/>
                <w:sz w:val="19"/>
                <w:szCs w:val="19"/>
              </w:rPr>
            </w:pPr>
            <w:r>
              <w:rPr>
                <w:i/>
                <w:iCs/>
                <w:color w:val="595959"/>
                <w:sz w:val="19"/>
                <w:szCs w:val="19"/>
              </w:rPr>
              <w:t>10 mins</w:t>
            </w:r>
          </w:p>
        </w:tc>
        <w:tc>
          <w:tcPr>
            <w:tcW w:w="4776" w:type="dxa"/>
            <w:tcMar>
              <w:top w:w="60" w:type="dxa"/>
              <w:left w:w="110" w:type="dxa"/>
              <w:bottom w:w="60" w:type="dxa"/>
              <w:right w:w="110" w:type="dxa"/>
            </w:tcMar>
          </w:tcPr>
          <w:p w14:paraId="3A72DCB4" w14:textId="77777777" w:rsidR="00AB6E37" w:rsidRDefault="00000000">
            <w:pPr>
              <w:spacing w:before="60" w:after="60" w:line="264" w:lineRule="auto"/>
            </w:pPr>
            <w:r>
              <w:rPr>
                <w:color w:val="000000"/>
                <w:sz w:val="19"/>
                <w:szCs w:val="19"/>
              </w:rPr>
              <w:t>Next steps and wrap-up.</w:t>
            </w:r>
          </w:p>
        </w:tc>
      </w:tr>
    </w:tbl>
    <w:p w14:paraId="34B6C069" w14:textId="77777777" w:rsidR="00AB6E37" w:rsidRDefault="00AB6E37">
      <w:pPr>
        <w:spacing w:line="264" w:lineRule="auto"/>
        <w:rPr>
          <w:i/>
          <w:iCs/>
          <w:color w:val="595959"/>
          <w:sz w:val="19"/>
          <w:szCs w:val="19"/>
        </w:rPr>
      </w:pPr>
    </w:p>
    <w:p w14:paraId="6200505D" w14:textId="77777777" w:rsidR="00AB6E37" w:rsidRDefault="00000000">
      <w:pPr>
        <w:spacing w:line="264" w:lineRule="auto"/>
      </w:pPr>
      <w:r>
        <w:rPr>
          <w:i/>
          <w:iCs/>
          <w:color w:val="595959"/>
          <w:sz w:val="19"/>
          <w:szCs w:val="19"/>
        </w:rPr>
        <w:t>Contact: Terry Uranbold, E-ledgers Institute (</w:t>
      </w:r>
      <w:proofErr w:type="spellStart"/>
      <w:r>
        <w:rPr>
          <w:i/>
          <w:iCs/>
          <w:color w:val="595959"/>
          <w:sz w:val="19"/>
          <w:szCs w:val="19"/>
        </w:rPr>
        <w:t>tsedensodnom.uranbold@e-ledgers.institute</w:t>
      </w:r>
      <w:proofErr w:type="spellEnd"/>
      <w:r>
        <w:rPr>
          <w:i/>
          <w:iCs/>
          <w:color w:val="595959"/>
          <w:sz w:val="19"/>
          <w:szCs w:val="19"/>
        </w:rPr>
        <w:t>), cc Lauren Holloway (</w:t>
      </w:r>
      <w:proofErr w:type="spellStart"/>
      <w:r>
        <w:rPr>
          <w:i/>
          <w:iCs/>
          <w:color w:val="595959"/>
          <w:sz w:val="19"/>
          <w:szCs w:val="19"/>
        </w:rPr>
        <w:t>lauren.holloway@e-ledgers.institute</w:t>
      </w:r>
      <w:proofErr w:type="spellEnd"/>
      <w:r>
        <w:rPr>
          <w:i/>
          <w:iCs/>
          <w:color w:val="595959"/>
          <w:sz w:val="19"/>
          <w:szCs w:val="19"/>
        </w:rPr>
        <w:t>)</w:t>
      </w:r>
    </w:p>
    <w:sectPr w:rsidR="00AB6E37">
      <w:headerReference w:type="default" r:id="rId9"/>
      <w:footerReference w:type="even" r:id="rId10"/>
      <w:footerReference w:type="default" r:id="rId11"/>
      <w:pgSz w:w="11906" w:h="16838"/>
      <w:pgMar w:top="1440" w:right="1440" w:bottom="1440" w:left="1440" w:header="620" w:footer="6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83E96" w14:textId="77777777" w:rsidR="006F1D3A" w:rsidRDefault="006F1D3A">
      <w:r>
        <w:separator/>
      </w:r>
    </w:p>
  </w:endnote>
  <w:endnote w:type="continuationSeparator" w:id="0">
    <w:p w14:paraId="5F596784" w14:textId="77777777" w:rsidR="006F1D3A" w:rsidRDefault="006F1D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embedRegular r:id="rId1" w:fontKey="{3E3D1A19-29CA-44E1-ACE4-5F2B37649F23}"/>
    <w:embedBold r:id="rId2" w:fontKey="{5B26FB29-DFB5-432C-9C7E-395604DABBB0}"/>
    <w:embedItalic r:id="rId3" w:fontKey="{A5DCE08C-5709-4357-8931-D01416B07D8C}"/>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BD8985C9-3FB0-4CB1-80B1-EFBFDE33ED45}"/>
  </w:font>
  <w:font w:name="Palatino">
    <w:altName w:val="Book Antiqua"/>
    <w:charset w:val="4D"/>
    <w:family w:val="auto"/>
    <w:pitch w:val="variable"/>
    <w:sig w:usb0="A00002FF" w:usb1="7800205A" w:usb2="14600000" w:usb3="00000000" w:csb0="00000193" w:csb1="00000000"/>
  </w:font>
  <w:font w:name="Aptos Display">
    <w:charset w:val="00"/>
    <w:family w:val="swiss"/>
    <w:pitch w:val="variable"/>
    <w:sig w:usb0="20000287" w:usb1="00000003" w:usb2="00000000" w:usb3="00000000" w:csb0="0000019F" w:csb1="00000000"/>
    <w:embedRegular r:id="rId5" w:fontKey="{4C312D05-015D-4BA5-9CA7-8199A715F286}"/>
  </w:font>
  <w:font w:name="Aptos">
    <w:charset w:val="00"/>
    <w:family w:val="swiss"/>
    <w:pitch w:val="variable"/>
    <w:sig w:usb0="20000287" w:usb1="00000003" w:usb2="00000000" w:usb3="00000000" w:csb0="0000019F" w:csb1="00000000"/>
    <w:embedRegular r:id="rId6" w:fontKey="{87E47DC1-EDCF-41ED-A53C-2DCCA4135B7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085BBC" w14:textId="77777777" w:rsidR="00AB6E37"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17B42B2B" w14:textId="77777777" w:rsidR="00AB6E37" w:rsidRDefault="00AB6E37">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17814" w14:textId="77777777" w:rsidR="00AB6E37"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2F2D1A">
      <w:rPr>
        <w:noProof/>
        <w:color w:val="000000"/>
      </w:rPr>
      <w:t>1</w:t>
    </w:r>
    <w:r>
      <w:rPr>
        <w:color w:val="000000"/>
      </w:rPr>
      <w:fldChar w:fldCharType="end"/>
    </w:r>
  </w:p>
  <w:p w14:paraId="44F882CA" w14:textId="77777777" w:rsidR="00AB6E37" w:rsidRDefault="00AB6E37">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D3DAC8" w14:textId="77777777" w:rsidR="006F1D3A" w:rsidRDefault="006F1D3A">
      <w:r>
        <w:separator/>
      </w:r>
    </w:p>
  </w:footnote>
  <w:footnote w:type="continuationSeparator" w:id="0">
    <w:p w14:paraId="33441E4B" w14:textId="77777777" w:rsidR="006F1D3A" w:rsidRDefault="006F1D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019A1" w14:textId="77777777" w:rsidR="00AB6E37" w:rsidRDefault="00000000">
    <w:pPr>
      <w:jc w:val="right"/>
    </w:pPr>
    <w:r>
      <w:t>ERCST-E-ledgers Workshop</w:t>
    </w:r>
    <w:r>
      <w:rPr>
        <w:noProof/>
      </w:rPr>
      <w:drawing>
        <wp:anchor distT="0" distB="0" distL="114300" distR="114300" simplePos="0" relativeHeight="251658240" behindDoc="0" locked="0" layoutInCell="1" hidden="0" allowOverlap="1" wp14:anchorId="3D45E2DF" wp14:editId="3D1D5E1A">
          <wp:simplePos x="0" y="0"/>
          <wp:positionH relativeFrom="column">
            <wp:posOffset>1</wp:posOffset>
          </wp:positionH>
          <wp:positionV relativeFrom="paragraph">
            <wp:posOffset>-23494</wp:posOffset>
          </wp:positionV>
          <wp:extent cx="1123950" cy="390525"/>
          <wp:effectExtent l="0" t="0" r="0" b="0"/>
          <wp:wrapSquare wrapText="bothSides" distT="0" distB="0" distL="114300" distR="11430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123950" cy="390525"/>
                  </a:xfrm>
                  <a:prstGeom prst="rect">
                    <a:avLst/>
                  </a:prstGeom>
                  <a:ln/>
                </pic:spPr>
              </pic:pic>
            </a:graphicData>
          </a:graphic>
        </wp:anchor>
      </w:drawing>
    </w:r>
  </w:p>
  <w:p w14:paraId="2A23F22F" w14:textId="77777777" w:rsidR="00AB6E37" w:rsidRDefault="00000000">
    <w:pPr>
      <w:jc w:val="right"/>
    </w:pPr>
    <w:r>
      <w:t>October 2026</w:t>
    </w:r>
  </w:p>
  <w:p w14:paraId="400EAD7F" w14:textId="77777777" w:rsidR="00AB6E37" w:rsidRDefault="00000000">
    <w:pPr>
      <w:jc w:val="right"/>
    </w:pPr>
    <w:r>
      <w:t>Confidential</w:t>
    </w:r>
  </w:p>
  <w:p w14:paraId="0E22B25D" w14:textId="77777777" w:rsidR="00AB6E37" w:rsidRDefault="00AB6E3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C473E"/>
    <w:multiLevelType w:val="multilevel"/>
    <w:tmpl w:val="D208FCC0"/>
    <w:lvl w:ilvl="0">
      <w:start w:val="1"/>
      <w:numFmt w:val="bullet"/>
      <w:lvlText w:val="•"/>
      <w:lvlJc w:val="left"/>
      <w:pPr>
        <w:ind w:left="403" w:hanging="259"/>
      </w:pPr>
      <w:rPr>
        <w:rFonts w:ascii="Cambria" w:eastAsia="Cambria" w:hAnsi="Cambria" w:cs="Cambria"/>
        <w:color w:val="43A44D"/>
        <w:sz w:val="21"/>
        <w:szCs w:val="21"/>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2639270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E37"/>
    <w:rsid w:val="00062408"/>
    <w:rsid w:val="000F2DB1"/>
    <w:rsid w:val="00246B11"/>
    <w:rsid w:val="002F2D1A"/>
    <w:rsid w:val="003C20B3"/>
    <w:rsid w:val="0050386E"/>
    <w:rsid w:val="006F1D3A"/>
    <w:rsid w:val="008300BF"/>
    <w:rsid w:val="00A275AA"/>
    <w:rsid w:val="00AB6E37"/>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0AFC"/>
  <w15:docId w15:val="{D044A539-84DD-1A41-9548-B0BFE98A2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1"/>
        <w:szCs w:val="21"/>
        <w:lang w:val="en"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6093D"/>
    <w:pPr>
      <w:tabs>
        <w:tab w:val="center" w:pos="4680"/>
        <w:tab w:val="right" w:pos="9360"/>
      </w:tabs>
    </w:pPr>
  </w:style>
  <w:style w:type="character" w:customStyle="1" w:styleId="HeaderChar">
    <w:name w:val="Header Char"/>
    <w:basedOn w:val="DefaultParagraphFont"/>
    <w:link w:val="Header"/>
    <w:uiPriority w:val="99"/>
    <w:rsid w:val="00B6093D"/>
  </w:style>
  <w:style w:type="paragraph" w:styleId="Footer">
    <w:name w:val="footer"/>
    <w:basedOn w:val="Normal"/>
    <w:link w:val="FooterChar"/>
    <w:uiPriority w:val="99"/>
    <w:unhideWhenUsed/>
    <w:rsid w:val="00B6093D"/>
    <w:pPr>
      <w:tabs>
        <w:tab w:val="center" w:pos="4680"/>
        <w:tab w:val="right" w:pos="9360"/>
      </w:tabs>
    </w:pPr>
  </w:style>
  <w:style w:type="character" w:customStyle="1" w:styleId="FooterChar">
    <w:name w:val="Footer Char"/>
    <w:basedOn w:val="DefaultParagraphFont"/>
    <w:link w:val="Footer"/>
    <w:uiPriority w:val="99"/>
    <w:rsid w:val="00B6093D"/>
  </w:style>
  <w:style w:type="character" w:styleId="UnresolvedMention">
    <w:name w:val="Unresolved Mention"/>
    <w:basedOn w:val="DefaultParagraphFont"/>
    <w:uiPriority w:val="99"/>
    <w:semiHidden/>
    <w:unhideWhenUsed/>
    <w:rsid w:val="0033376A"/>
    <w:rPr>
      <w:color w:val="605E5C"/>
      <w:shd w:val="clear" w:color="auto" w:fill="E1DFDD"/>
    </w:rPr>
  </w:style>
  <w:style w:type="character" w:styleId="PageNumber">
    <w:name w:val="page number"/>
    <w:basedOn w:val="DefaultParagraphFont"/>
    <w:uiPriority w:val="99"/>
    <w:semiHidden/>
    <w:unhideWhenUsed/>
    <w:rsid w:val="0094285F"/>
  </w:style>
  <w:style w:type="character" w:styleId="Strong">
    <w:name w:val="Strong"/>
    <w:basedOn w:val="DefaultParagraphFont"/>
    <w:uiPriority w:val="22"/>
    <w:qFormat/>
    <w:rsid w:val="0059117D"/>
    <w:rPr>
      <w:b/>
      <w:bCs/>
    </w:rPr>
  </w:style>
  <w:style w:type="character" w:customStyle="1" w:styleId="appselementsgenerativeaiastanimated">
    <w:name w:val="appselementsgenerativeaiastanimated"/>
    <w:basedOn w:val="DefaultParagraphFont"/>
    <w:rsid w:val="0059117D"/>
  </w:style>
  <w:style w:type="table" w:styleId="TableGridLight">
    <w:name w:val="Grid Table Light"/>
    <w:basedOn w:val="TableNormal"/>
    <w:uiPriority w:val="40"/>
    <w:rsid w:val="0059117D"/>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66422"/>
  </w:style>
  <w:style w:type="character" w:styleId="CommentReference">
    <w:name w:val="annotation reference"/>
    <w:basedOn w:val="DefaultParagraphFont"/>
    <w:uiPriority w:val="99"/>
    <w:semiHidden/>
    <w:unhideWhenUsed/>
    <w:rsid w:val="00EB49EF"/>
    <w:rPr>
      <w:sz w:val="16"/>
      <w:szCs w:val="16"/>
    </w:rPr>
  </w:style>
  <w:style w:type="paragraph" w:styleId="CommentText">
    <w:name w:val="annotation text"/>
    <w:basedOn w:val="Normal"/>
    <w:link w:val="CommentTextChar"/>
    <w:uiPriority w:val="99"/>
    <w:semiHidden/>
    <w:unhideWhenUsed/>
    <w:rsid w:val="00EB49EF"/>
    <w:rPr>
      <w:sz w:val="20"/>
      <w:szCs w:val="20"/>
    </w:rPr>
  </w:style>
  <w:style w:type="character" w:customStyle="1" w:styleId="CommentTextChar">
    <w:name w:val="Comment Text Char"/>
    <w:basedOn w:val="DefaultParagraphFont"/>
    <w:link w:val="CommentText"/>
    <w:uiPriority w:val="99"/>
    <w:semiHidden/>
    <w:rsid w:val="00EB49EF"/>
    <w:rPr>
      <w:sz w:val="20"/>
      <w:szCs w:val="20"/>
    </w:rPr>
  </w:style>
  <w:style w:type="paragraph" w:styleId="CommentSubject">
    <w:name w:val="annotation subject"/>
    <w:basedOn w:val="CommentText"/>
    <w:next w:val="CommentText"/>
    <w:link w:val="CommentSubjectChar"/>
    <w:uiPriority w:val="99"/>
    <w:semiHidden/>
    <w:unhideWhenUsed/>
    <w:rsid w:val="00EB49EF"/>
    <w:rPr>
      <w:b/>
      <w:bCs/>
    </w:rPr>
  </w:style>
  <w:style w:type="character" w:customStyle="1" w:styleId="CommentSubjectChar">
    <w:name w:val="Comment Subject Char"/>
    <w:basedOn w:val="CommentTextChar"/>
    <w:link w:val="CommentSubject"/>
    <w:uiPriority w:val="99"/>
    <w:semiHidden/>
    <w:rsid w:val="00EB49EF"/>
    <w:rPr>
      <w:b/>
      <w:bCs/>
      <w:sz w:val="20"/>
      <w:szCs w:val="20"/>
    </w:rPr>
  </w:style>
  <w:style w:type="character" w:styleId="FollowedHyperlink">
    <w:name w:val="FollowedHyperlink"/>
    <w:basedOn w:val="DefaultParagraphFont"/>
    <w:uiPriority w:val="99"/>
    <w:semiHidden/>
    <w:unhideWhenUsed/>
    <w:rsid w:val="00D74FF9"/>
    <w:rPr>
      <w:color w:val="96607D"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google.com/maps/search/Avenue+d%E2%80%99Auderghem+18?entry=gmail&amp;source=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sAtlAp6g5gNFqBq3vFw8oLjOBw==">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917</Words>
  <Characters>5233</Characters>
  <Application>Microsoft Office Word</Application>
  <DocSecurity>0</DocSecurity>
  <Lines>43</Lines>
  <Paragraphs>12</Paragraphs>
  <ScaleCrop>false</ScaleCrop>
  <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Francesca Calvo | ERCST</cp:lastModifiedBy>
  <cp:revision>3</cp:revision>
  <cp:lastPrinted>2026-10-01T09:18:00Z</cp:lastPrinted>
  <dcterms:created xsi:type="dcterms:W3CDTF">2026-10-01T09:16:00Z</dcterms:created>
  <dcterms:modified xsi:type="dcterms:W3CDTF">2026-10-01T09:24:00Z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89a4f13f86e7f77c6b174ab6927153e973b978af2483879b72b75869d5a8bd21</vt:lpwstr>
  </property>
</Properties>
</file>