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6DD" w14:textId="3353C1E8" w:rsidR="004F5FCD" w:rsidRPr="00CB057F" w:rsidRDefault="004F5FCD" w:rsidP="004F5FCD">
      <w:pPr>
        <w:tabs>
          <w:tab w:val="center" w:pos="4816"/>
          <w:tab w:val="right" w:pos="9632"/>
        </w:tabs>
        <w:spacing w:after="120" w:line="240" w:lineRule="auto"/>
        <w:jc w:val="center"/>
        <w:rPr>
          <w:rFonts w:ascii="Cambria" w:hAnsi="Cambria" w:cs="Tahoma"/>
          <w:b/>
          <w:bCs/>
          <w:color w:val="000000" w:themeColor="text1"/>
          <w:sz w:val="40"/>
          <w:szCs w:val="40"/>
          <w:lang w:eastAsia="it-IT"/>
        </w:rPr>
      </w:pPr>
      <w:r w:rsidRPr="00CB057F">
        <w:rPr>
          <w:rFonts w:ascii="Cambria" w:hAnsi="Cambria" w:cs="Tahoma"/>
          <w:b/>
          <w:bCs/>
          <w:color w:val="000000" w:themeColor="text1"/>
          <w:sz w:val="40"/>
          <w:szCs w:val="40"/>
          <w:lang w:eastAsia="it-IT"/>
        </w:rPr>
        <w:t>The ETS for road transport and buildings</w:t>
      </w:r>
    </w:p>
    <w:p w14:paraId="4A3D40F0" w14:textId="4552636A" w:rsidR="004F5FCD" w:rsidRPr="00CB057F" w:rsidRDefault="004F5FCD" w:rsidP="004F5FCD">
      <w:pPr>
        <w:tabs>
          <w:tab w:val="center" w:pos="4816"/>
          <w:tab w:val="right" w:pos="9632"/>
        </w:tabs>
        <w:spacing w:after="120" w:line="240" w:lineRule="auto"/>
        <w:jc w:val="center"/>
        <w:rPr>
          <w:rFonts w:ascii="Cambria" w:hAnsi="Cambria" w:cs="Tahoma"/>
          <w:b/>
          <w:bCs/>
          <w:color w:val="000000" w:themeColor="text1"/>
          <w:sz w:val="36"/>
          <w:szCs w:val="36"/>
          <w:lang w:eastAsia="it-IT"/>
        </w:rPr>
      </w:pPr>
      <w:r w:rsidRPr="00CB057F">
        <w:rPr>
          <w:rFonts w:ascii="Cambria" w:hAnsi="Cambria" w:cs="Tahoma"/>
          <w:b/>
          <w:bCs/>
          <w:color w:val="000000" w:themeColor="text1"/>
          <w:sz w:val="36"/>
          <w:szCs w:val="36"/>
          <w:lang w:eastAsia="it-IT"/>
        </w:rPr>
        <w:t>Why yes? Why not?</w:t>
      </w:r>
    </w:p>
    <w:p w14:paraId="03E6ACC3" w14:textId="77777777" w:rsidR="004F5FCD" w:rsidRPr="00E42506" w:rsidRDefault="004F5FCD" w:rsidP="004F5FCD">
      <w:pPr>
        <w:spacing w:after="120" w:line="240" w:lineRule="auto"/>
        <w:jc w:val="center"/>
        <w:rPr>
          <w:rFonts w:ascii="Cambria" w:eastAsia="Times New Roman" w:hAnsi="Cambria" w:cs="Tahoma"/>
          <w:b/>
          <w:bCs/>
          <w:i/>
          <w:iCs/>
          <w:color w:val="000000" w:themeColor="text1"/>
          <w:sz w:val="20"/>
          <w:szCs w:val="20"/>
          <w:lang w:eastAsia="en-GB"/>
        </w:rPr>
      </w:pPr>
      <w:r w:rsidRPr="00E42506">
        <w:rPr>
          <w:rFonts w:ascii="Cambria" w:eastAsia="Times New Roman" w:hAnsi="Cambria" w:cs="Tahoma"/>
          <w:b/>
          <w:bCs/>
          <w:i/>
          <w:iCs/>
          <w:color w:val="000000" w:themeColor="text1"/>
          <w:sz w:val="20"/>
          <w:szCs w:val="20"/>
          <w:lang w:eastAsia="en-GB"/>
        </w:rPr>
        <w:t xml:space="preserve">This meeting is under Chatham House Rules, </w:t>
      </w:r>
      <w:r>
        <w:rPr>
          <w:rFonts w:ascii="Cambria" w:eastAsia="Times New Roman" w:hAnsi="Cambria" w:cs="Tahoma"/>
          <w:b/>
          <w:bCs/>
          <w:i/>
          <w:iCs/>
          <w:color w:val="000000" w:themeColor="text1"/>
          <w:sz w:val="20"/>
          <w:szCs w:val="20"/>
          <w:lang w:eastAsia="en-GB"/>
        </w:rPr>
        <w:t>some speakers are still TBC</w:t>
      </w:r>
    </w:p>
    <w:p w14:paraId="437E6B76" w14:textId="77777777" w:rsidR="004F5FCD" w:rsidRPr="00E42506" w:rsidRDefault="004F5FCD" w:rsidP="004F5FCD">
      <w:pPr>
        <w:jc w:val="center"/>
        <w:rPr>
          <w:rFonts w:ascii="Cambria" w:hAnsi="Cambria" w:cs="Tahoma"/>
          <w:b/>
          <w:bCs/>
          <w:color w:val="000000" w:themeColor="text1"/>
          <w:sz w:val="20"/>
          <w:szCs w:val="20"/>
        </w:rPr>
      </w:pPr>
      <w:r w:rsidRPr="00E42506">
        <w:rPr>
          <w:rFonts w:ascii="Cambria" w:hAnsi="Cambria" w:cs="Tahoma"/>
          <w:b/>
          <w:bCs/>
          <w:color w:val="000000" w:themeColor="text1"/>
          <w:sz w:val="20"/>
          <w:szCs w:val="20"/>
        </w:rPr>
        <w:t xml:space="preserve">*** </w:t>
      </w:r>
      <w:r>
        <w:rPr>
          <w:rFonts w:ascii="Cambria" w:hAnsi="Cambria" w:cs="Tahoma"/>
          <w:b/>
          <w:bCs/>
          <w:color w:val="000000" w:themeColor="text1"/>
          <w:sz w:val="20"/>
          <w:szCs w:val="20"/>
        </w:rPr>
        <w:t xml:space="preserve">Draft </w:t>
      </w:r>
      <w:r w:rsidRPr="00E42506">
        <w:rPr>
          <w:rFonts w:ascii="Cambria" w:hAnsi="Cambria" w:cs="Tahoma"/>
          <w:b/>
          <w:bCs/>
          <w:color w:val="000000" w:themeColor="text1"/>
          <w:sz w:val="20"/>
          <w:szCs w:val="20"/>
        </w:rPr>
        <w:t>Agenda ***</w:t>
      </w:r>
    </w:p>
    <w:p w14:paraId="4CCAE3B0" w14:textId="77777777" w:rsidR="00E77E63" w:rsidRDefault="00E77E63" w:rsidP="004F5FCD">
      <w:pPr>
        <w:pStyle w:val="Paragrafobase"/>
        <w:rPr>
          <w:rFonts w:ascii="Cambria" w:hAnsi="Cambria" w:cs="Tahoma"/>
          <w:b/>
          <w:color w:val="000000" w:themeColor="text1"/>
          <w:sz w:val="20"/>
          <w:szCs w:val="20"/>
          <w:lang w:val="en-US"/>
        </w:rPr>
      </w:pPr>
    </w:p>
    <w:p w14:paraId="63ED77AA" w14:textId="5BBBC03E" w:rsidR="004F5FCD" w:rsidRPr="00006365" w:rsidRDefault="004F5FCD" w:rsidP="004F5FCD">
      <w:pPr>
        <w:pStyle w:val="Paragrafobase"/>
        <w:rPr>
          <w:rFonts w:ascii="Cambria" w:hAnsi="Cambria" w:cs="Tahoma"/>
          <w:color w:val="000000" w:themeColor="text1"/>
          <w:sz w:val="20"/>
          <w:szCs w:val="20"/>
          <w:lang w:val="en-US"/>
        </w:rPr>
      </w:pPr>
      <w:r w:rsidRPr="00006365">
        <w:rPr>
          <w:rFonts w:ascii="Cambria" w:hAnsi="Cambria" w:cs="Tahoma"/>
          <w:b/>
          <w:color w:val="000000" w:themeColor="text1"/>
          <w:sz w:val="20"/>
          <w:szCs w:val="20"/>
          <w:lang w:val="en-US"/>
        </w:rPr>
        <w:t>Date</w:t>
      </w:r>
      <w:r w:rsidRPr="00006365">
        <w:rPr>
          <w:rFonts w:ascii="Cambria" w:hAnsi="Cambria" w:cs="Tahoma"/>
          <w:color w:val="000000" w:themeColor="text1"/>
          <w:sz w:val="20"/>
          <w:szCs w:val="20"/>
          <w:lang w:val="en-US"/>
        </w:rPr>
        <w:t>: November 18, 2021</w:t>
      </w:r>
    </w:p>
    <w:p w14:paraId="2814A0E2" w14:textId="36C4D462" w:rsidR="004F5FCD" w:rsidRPr="00006365" w:rsidRDefault="004F5FCD" w:rsidP="004F5FCD">
      <w:pPr>
        <w:pStyle w:val="Paragrafobase"/>
        <w:rPr>
          <w:rFonts w:ascii="Cambria" w:hAnsi="Cambria" w:cs="Tahoma"/>
          <w:color w:val="000000" w:themeColor="text1"/>
          <w:sz w:val="20"/>
          <w:szCs w:val="20"/>
          <w:lang w:val="en-US"/>
        </w:rPr>
      </w:pPr>
      <w:r w:rsidRPr="00006365">
        <w:rPr>
          <w:rFonts w:ascii="Cambria" w:hAnsi="Cambria" w:cs="Tahoma"/>
          <w:b/>
          <w:color w:val="000000" w:themeColor="text1"/>
          <w:sz w:val="20"/>
          <w:szCs w:val="20"/>
          <w:lang w:val="en-US"/>
        </w:rPr>
        <w:t>Time:</w:t>
      </w:r>
      <w:r w:rsidRPr="00006365">
        <w:rPr>
          <w:rFonts w:ascii="Cambria" w:hAnsi="Cambria" w:cs="Tahoma"/>
          <w:color w:val="000000" w:themeColor="text1"/>
          <w:sz w:val="20"/>
          <w:szCs w:val="20"/>
          <w:lang w:val="en-US"/>
        </w:rPr>
        <w:t xml:space="preserve"> </w:t>
      </w:r>
      <w:r w:rsidR="00E77E63">
        <w:rPr>
          <w:rFonts w:ascii="Cambria" w:hAnsi="Cambria" w:cs="Tahoma"/>
          <w:color w:val="000000" w:themeColor="text1"/>
          <w:sz w:val="20"/>
          <w:szCs w:val="20"/>
          <w:lang w:val="en-US"/>
        </w:rPr>
        <w:t>1</w:t>
      </w:r>
      <w:r w:rsidR="003A2105">
        <w:rPr>
          <w:rFonts w:ascii="Cambria" w:hAnsi="Cambria" w:cs="Tahoma"/>
          <w:color w:val="000000" w:themeColor="text1"/>
          <w:sz w:val="20"/>
          <w:szCs w:val="20"/>
          <w:lang w:val="en-US"/>
        </w:rPr>
        <w:t>3</w:t>
      </w:r>
      <w:r w:rsidR="00E77E63">
        <w:rPr>
          <w:rFonts w:ascii="Cambria" w:hAnsi="Cambria" w:cs="Tahoma"/>
          <w:color w:val="000000" w:themeColor="text1"/>
          <w:sz w:val="20"/>
          <w:szCs w:val="20"/>
          <w:lang w:val="en-US"/>
        </w:rPr>
        <w:t>:00</w:t>
      </w:r>
      <w:r w:rsidRPr="00006365">
        <w:rPr>
          <w:rFonts w:ascii="Cambria" w:hAnsi="Cambria" w:cs="Tahoma"/>
          <w:color w:val="000000" w:themeColor="text1"/>
          <w:sz w:val="20"/>
          <w:szCs w:val="20"/>
          <w:lang w:val="en-US"/>
        </w:rPr>
        <w:t xml:space="preserve"> – </w:t>
      </w:r>
      <w:r w:rsidR="00E77E63">
        <w:rPr>
          <w:rFonts w:ascii="Cambria" w:hAnsi="Cambria" w:cs="Tahoma"/>
          <w:color w:val="000000" w:themeColor="text1"/>
          <w:sz w:val="20"/>
          <w:szCs w:val="20"/>
          <w:lang w:val="en-US"/>
        </w:rPr>
        <w:t>1</w:t>
      </w:r>
      <w:r w:rsidR="003A2105">
        <w:rPr>
          <w:rFonts w:ascii="Cambria" w:hAnsi="Cambria" w:cs="Tahoma"/>
          <w:color w:val="000000" w:themeColor="text1"/>
          <w:sz w:val="20"/>
          <w:szCs w:val="20"/>
          <w:lang w:val="en-US"/>
        </w:rPr>
        <w:t>5</w:t>
      </w:r>
      <w:r w:rsidR="00E77E63">
        <w:rPr>
          <w:rFonts w:ascii="Cambria" w:hAnsi="Cambria" w:cs="Tahoma"/>
          <w:color w:val="000000" w:themeColor="text1"/>
          <w:sz w:val="20"/>
          <w:szCs w:val="20"/>
          <w:lang w:val="en-US"/>
        </w:rPr>
        <w:t>:00</w:t>
      </w:r>
      <w:r w:rsidRPr="00006365">
        <w:rPr>
          <w:rFonts w:ascii="Cambria" w:hAnsi="Cambria" w:cs="Tahoma"/>
          <w:color w:val="000000" w:themeColor="text1"/>
          <w:sz w:val="20"/>
          <w:szCs w:val="20"/>
          <w:lang w:val="en-US"/>
        </w:rPr>
        <w:t xml:space="preserve"> </w:t>
      </w:r>
    </w:p>
    <w:p w14:paraId="3A6CB5B3" w14:textId="2CB86A24" w:rsidR="004F5FCD" w:rsidRPr="00006365" w:rsidRDefault="004F5FCD" w:rsidP="004F5FCD">
      <w:pPr>
        <w:pStyle w:val="Paragrafobase"/>
        <w:rPr>
          <w:rFonts w:ascii="Cambria" w:hAnsi="Cambria" w:cs="Tahoma"/>
          <w:bCs/>
          <w:color w:val="000000" w:themeColor="text1"/>
          <w:sz w:val="20"/>
          <w:szCs w:val="20"/>
          <w:lang w:val="en-US"/>
        </w:rPr>
      </w:pPr>
      <w:r w:rsidRPr="00006365">
        <w:rPr>
          <w:rFonts w:ascii="Cambria" w:hAnsi="Cambria" w:cs="Tahoma"/>
          <w:b/>
          <w:color w:val="000000" w:themeColor="text1"/>
          <w:sz w:val="20"/>
          <w:szCs w:val="20"/>
          <w:lang w:val="en-US"/>
        </w:rPr>
        <w:t>Location:</w:t>
      </w:r>
      <w:r w:rsidRPr="00006365">
        <w:rPr>
          <w:rFonts w:ascii="Cambria" w:hAnsi="Cambria" w:cs="Tahoma"/>
          <w:bCs/>
          <w:color w:val="000000" w:themeColor="text1"/>
          <w:sz w:val="20"/>
          <w:szCs w:val="20"/>
          <w:lang w:val="en-US"/>
        </w:rPr>
        <w:t xml:space="preserve"> Zoom Event</w:t>
      </w:r>
      <w:r w:rsidR="00F2511D">
        <w:rPr>
          <w:rFonts w:ascii="Cambria" w:hAnsi="Cambria" w:cs="Tahoma"/>
          <w:bCs/>
          <w:color w:val="000000" w:themeColor="text1"/>
          <w:sz w:val="20"/>
          <w:szCs w:val="20"/>
          <w:lang w:val="en-US"/>
        </w:rPr>
        <w:t xml:space="preserve"> --- </w:t>
      </w:r>
      <w:hyperlink r:id="rId7" w:history="1">
        <w:r w:rsidR="00F2511D" w:rsidRPr="00F2511D">
          <w:rPr>
            <w:rStyle w:val="Hyperlink"/>
            <w:rFonts w:ascii="Cambria" w:hAnsi="Cambria" w:cs="Tahoma"/>
            <w:bCs/>
            <w:sz w:val="20"/>
            <w:szCs w:val="20"/>
            <w:lang w:val="en-US"/>
          </w:rPr>
          <w:t>REGISTER HERE</w:t>
        </w:r>
      </w:hyperlink>
      <w:r w:rsidR="00F2511D">
        <w:rPr>
          <w:rFonts w:ascii="Cambria" w:hAnsi="Cambria" w:cs="Tahoma"/>
          <w:bCs/>
          <w:color w:val="000000" w:themeColor="text1"/>
          <w:sz w:val="20"/>
          <w:szCs w:val="20"/>
          <w:lang w:val="en-US"/>
        </w:rPr>
        <w:t xml:space="preserve"> ---</w:t>
      </w:r>
    </w:p>
    <w:p w14:paraId="77836552" w14:textId="77777777" w:rsidR="004F5FCD" w:rsidRPr="00006365" w:rsidRDefault="004F5FCD" w:rsidP="004F5FCD">
      <w:pPr>
        <w:pStyle w:val="Paragrafobase"/>
        <w:rPr>
          <w:rFonts w:ascii="Cambria" w:hAnsi="Cambria" w:cs="Tahoma"/>
          <w:bCs/>
          <w:color w:val="000000" w:themeColor="text1"/>
          <w:sz w:val="20"/>
          <w:szCs w:val="20"/>
          <w:lang w:val="en-US"/>
        </w:rPr>
      </w:pPr>
    </w:p>
    <w:tbl>
      <w:tblPr>
        <w:tblStyle w:val="TableGrid"/>
        <w:tblW w:w="0" w:type="auto"/>
        <w:tblLook w:val="04A0" w:firstRow="1" w:lastRow="0" w:firstColumn="1" w:lastColumn="0" w:noHBand="0" w:noVBand="1"/>
      </w:tblPr>
      <w:tblGrid>
        <w:gridCol w:w="9622"/>
      </w:tblGrid>
      <w:tr w:rsidR="004F5FCD" w:rsidRPr="00006365" w14:paraId="46A4B162" w14:textId="77777777" w:rsidTr="000C3AC1">
        <w:tc>
          <w:tcPr>
            <w:tcW w:w="9622" w:type="dxa"/>
          </w:tcPr>
          <w:p w14:paraId="497617BD" w14:textId="350047DC" w:rsidR="004F5FCD" w:rsidRPr="00CB057F" w:rsidRDefault="004F5FCD" w:rsidP="00A464E9">
            <w:pPr>
              <w:pStyle w:val="NormalWeb"/>
              <w:spacing w:line="276" w:lineRule="auto"/>
              <w:jc w:val="both"/>
              <w:rPr>
                <w:rFonts w:ascii="Cambria" w:hAnsi="Cambria" w:cs="Calibri"/>
                <w:color w:val="000000" w:themeColor="text1"/>
                <w:sz w:val="21"/>
                <w:szCs w:val="21"/>
                <w:lang w:val="en-GB"/>
              </w:rPr>
            </w:pPr>
            <w:r w:rsidRPr="00CB057F">
              <w:rPr>
                <w:rFonts w:ascii="Cambria" w:eastAsiaTheme="minorHAnsi" w:hAnsi="Cambria"/>
                <w:sz w:val="21"/>
                <w:szCs w:val="21"/>
                <w:lang w:val="en-GB" w:eastAsia="en-US"/>
              </w:rPr>
              <w:t>On July 14</w:t>
            </w:r>
            <w:r w:rsidRPr="00CB057F">
              <w:rPr>
                <w:rFonts w:ascii="Cambria" w:eastAsiaTheme="minorHAnsi" w:hAnsi="Cambria"/>
                <w:sz w:val="21"/>
                <w:szCs w:val="21"/>
                <w:vertAlign w:val="superscript"/>
                <w:lang w:val="en-GB" w:eastAsia="en-US"/>
              </w:rPr>
              <w:t>th</w:t>
            </w:r>
            <w:r w:rsidRPr="00CB057F">
              <w:rPr>
                <w:rFonts w:ascii="Cambria" w:eastAsiaTheme="minorHAnsi" w:hAnsi="Cambria"/>
                <w:sz w:val="21"/>
                <w:szCs w:val="21"/>
                <w:lang w:val="en-GB" w:eastAsia="en-US"/>
              </w:rPr>
              <w:t xml:space="preserve"> the Commission proposed to establish a separate ETS for road transport and buildings in 2025. Compliance obligations would start in 2026. The cap of the new ETS will be set from 2026, alongside a linear reduction factor in line with a 45% emissions reduction in these sectors by 2030 compared to 2005. </w:t>
            </w:r>
            <w:r w:rsidR="00FC71E7" w:rsidRPr="00CB057F">
              <w:rPr>
                <w:rFonts w:ascii="Cambria" w:eastAsiaTheme="minorHAnsi" w:hAnsi="Cambria"/>
                <w:sz w:val="21"/>
                <w:szCs w:val="21"/>
                <w:lang w:val="en-GB" w:eastAsia="en-US"/>
              </w:rPr>
              <w:t xml:space="preserve">Since the idea of extending the EU emission trading to </w:t>
            </w:r>
            <w:r w:rsidR="00284176" w:rsidRPr="00CB057F">
              <w:rPr>
                <w:rFonts w:ascii="Cambria" w:eastAsiaTheme="minorHAnsi" w:hAnsi="Cambria"/>
                <w:sz w:val="21"/>
                <w:szCs w:val="21"/>
                <w:lang w:val="en-GB" w:eastAsia="en-US"/>
              </w:rPr>
              <w:t>these two sectors</w:t>
            </w:r>
            <w:r w:rsidR="00FC71E7" w:rsidRPr="00CB057F">
              <w:rPr>
                <w:rFonts w:ascii="Cambria" w:eastAsiaTheme="minorHAnsi" w:hAnsi="Cambria"/>
                <w:sz w:val="21"/>
                <w:szCs w:val="21"/>
                <w:lang w:val="en-GB" w:eastAsia="en-US"/>
              </w:rPr>
              <w:t xml:space="preserve"> has been floated in the EU Green Deal Communication, it has raised significant criticism. Sceptics point to the presence of </w:t>
            </w:r>
            <w:r w:rsidR="00FC71E7" w:rsidRPr="00CB057F">
              <w:rPr>
                <w:rFonts w:ascii="Cambria" w:hAnsi="Cambria" w:cs="Calibri"/>
                <w:color w:val="000000" w:themeColor="text1"/>
                <w:sz w:val="21"/>
                <w:szCs w:val="21"/>
                <w:lang w:val="en-GB"/>
              </w:rPr>
              <w:t xml:space="preserve">market failures and non-price barriers to investments in energy efficiency improvements, as well as the low-price elasticity of energy demand in these sectors and the high upfront costs of substantial emissions abatement options. </w:t>
            </w:r>
            <w:r w:rsidR="00A464E9" w:rsidRPr="00CB057F">
              <w:rPr>
                <w:rFonts w:ascii="Cambria" w:hAnsi="Cambria" w:cs="Calibri"/>
                <w:color w:val="000000" w:themeColor="text1"/>
                <w:sz w:val="21"/>
                <w:szCs w:val="21"/>
                <w:lang w:val="en-GB"/>
              </w:rPr>
              <w:t xml:space="preserve">The Commission stressed instead the excellent track record of the ETS in abating emission cost efficiently and is convinced that ETS revenues can be recycled to as to mitigate the impact of carbon pricing on more vulnerable households. </w:t>
            </w:r>
          </w:p>
          <w:p w14:paraId="579219D2" w14:textId="6BE3F922" w:rsidR="004F5FCD" w:rsidRPr="00CB057F" w:rsidRDefault="004F5FCD" w:rsidP="004F5FCD">
            <w:pPr>
              <w:jc w:val="both"/>
              <w:rPr>
                <w:rFonts w:ascii="Cambria" w:eastAsia="Times New Roman" w:hAnsi="Cambria" w:cs="Times New Roman"/>
                <w:sz w:val="21"/>
                <w:szCs w:val="21"/>
                <w:lang w:eastAsia="en-GB"/>
              </w:rPr>
            </w:pPr>
            <w:r w:rsidRPr="00CB057F">
              <w:rPr>
                <w:rFonts w:ascii="Cambria" w:eastAsia="Times New Roman" w:hAnsi="Cambria" w:cs="Times New Roman"/>
                <w:sz w:val="21"/>
                <w:szCs w:val="21"/>
                <w:lang w:eastAsia="en-GB"/>
              </w:rPr>
              <w:t xml:space="preserve">This event </w:t>
            </w:r>
            <w:r w:rsidR="00A464E9" w:rsidRPr="00CB057F">
              <w:rPr>
                <w:rFonts w:ascii="Cambria" w:eastAsia="Times New Roman" w:hAnsi="Cambria" w:cs="Times New Roman"/>
                <w:sz w:val="21"/>
                <w:szCs w:val="21"/>
                <w:lang w:eastAsia="en-GB"/>
              </w:rPr>
              <w:t>aims to tackle the most important issues associated with the new ETS by answering the</w:t>
            </w:r>
            <w:r w:rsidRPr="00CB057F">
              <w:rPr>
                <w:rFonts w:ascii="Cambria" w:eastAsia="Times New Roman" w:hAnsi="Cambria" w:cs="Times New Roman"/>
                <w:sz w:val="21"/>
                <w:szCs w:val="21"/>
                <w:lang w:eastAsia="en-GB"/>
              </w:rPr>
              <w:t xml:space="preserve"> following questions: </w:t>
            </w:r>
          </w:p>
          <w:p w14:paraId="1AEA9AD5" w14:textId="77777777" w:rsidR="004F5FCD" w:rsidRPr="00CB057F" w:rsidRDefault="004F5FCD" w:rsidP="004F5FCD">
            <w:pPr>
              <w:pStyle w:val="ListParagraph"/>
              <w:numPr>
                <w:ilvl w:val="0"/>
                <w:numId w:val="3"/>
              </w:numPr>
              <w:spacing w:after="0" w:line="240" w:lineRule="auto"/>
              <w:rPr>
                <w:rFonts w:ascii="Cambria" w:hAnsi="Cambria"/>
                <w:b/>
                <w:bCs/>
                <w:sz w:val="21"/>
                <w:szCs w:val="21"/>
                <w:u w:val="single"/>
                <w:lang w:val="en-GB"/>
              </w:rPr>
            </w:pPr>
            <w:r w:rsidRPr="00CB057F">
              <w:rPr>
                <w:rFonts w:ascii="Cambria" w:hAnsi="Cambria"/>
                <w:sz w:val="21"/>
                <w:szCs w:val="21"/>
                <w:lang w:val="en-GB"/>
              </w:rPr>
              <w:t>Is Carbon Pricing the right tools to decarbonize these sectors?</w:t>
            </w:r>
          </w:p>
          <w:p w14:paraId="64DDBA38" w14:textId="68B71955" w:rsidR="004F5FCD" w:rsidRPr="00CB057F" w:rsidRDefault="004F5FCD" w:rsidP="004F5FCD">
            <w:pPr>
              <w:pStyle w:val="ListParagraph"/>
              <w:numPr>
                <w:ilvl w:val="0"/>
                <w:numId w:val="3"/>
              </w:numPr>
              <w:spacing w:after="0" w:line="240" w:lineRule="auto"/>
              <w:rPr>
                <w:rFonts w:ascii="Cambria" w:hAnsi="Cambria"/>
                <w:b/>
                <w:bCs/>
                <w:sz w:val="21"/>
                <w:szCs w:val="21"/>
                <w:u w:val="single"/>
                <w:lang w:val="en-GB"/>
              </w:rPr>
            </w:pPr>
            <w:r w:rsidRPr="00CB057F">
              <w:rPr>
                <w:rFonts w:ascii="Cambria" w:hAnsi="Cambria"/>
                <w:sz w:val="21"/>
                <w:szCs w:val="21"/>
                <w:lang w:val="en-GB"/>
              </w:rPr>
              <w:t xml:space="preserve">What </w:t>
            </w:r>
            <w:proofErr w:type="gramStart"/>
            <w:r w:rsidRPr="00CB057F">
              <w:rPr>
                <w:rFonts w:ascii="Cambria" w:hAnsi="Cambria"/>
                <w:sz w:val="21"/>
                <w:szCs w:val="21"/>
                <w:lang w:val="en-GB"/>
              </w:rPr>
              <w:t>are</w:t>
            </w:r>
            <w:proofErr w:type="gramEnd"/>
            <w:r w:rsidRPr="00CB057F">
              <w:rPr>
                <w:rFonts w:ascii="Cambria" w:hAnsi="Cambria"/>
                <w:sz w:val="21"/>
                <w:szCs w:val="21"/>
                <w:lang w:val="en-GB"/>
              </w:rPr>
              <w:t xml:space="preserve"> the other non-price</w:t>
            </w:r>
            <w:r w:rsidR="00A464E9" w:rsidRPr="00CB057F">
              <w:rPr>
                <w:rFonts w:ascii="Cambria" w:hAnsi="Cambria"/>
                <w:sz w:val="21"/>
                <w:szCs w:val="21"/>
                <w:lang w:val="en-GB"/>
              </w:rPr>
              <w:t>-</w:t>
            </w:r>
            <w:r w:rsidRPr="00CB057F">
              <w:rPr>
                <w:rFonts w:ascii="Cambria" w:hAnsi="Cambria"/>
                <w:sz w:val="21"/>
                <w:szCs w:val="21"/>
                <w:lang w:val="en-GB"/>
              </w:rPr>
              <w:t xml:space="preserve">based tools to decarbonize these sectors while also ensuring policy consistency across member states? </w:t>
            </w:r>
          </w:p>
          <w:p w14:paraId="7738F86A" w14:textId="44FBEF02" w:rsidR="004F5FCD" w:rsidRPr="00CB057F" w:rsidRDefault="004F5FCD" w:rsidP="004F5FCD">
            <w:pPr>
              <w:pStyle w:val="ListParagraph"/>
              <w:numPr>
                <w:ilvl w:val="0"/>
                <w:numId w:val="3"/>
              </w:numPr>
              <w:spacing w:after="0" w:line="240" w:lineRule="auto"/>
              <w:rPr>
                <w:rFonts w:ascii="Cambria" w:hAnsi="Cambria"/>
                <w:b/>
                <w:bCs/>
                <w:sz w:val="21"/>
                <w:szCs w:val="21"/>
                <w:u w:val="single"/>
                <w:lang w:val="en-GB"/>
              </w:rPr>
            </w:pPr>
            <w:r w:rsidRPr="00CB057F">
              <w:rPr>
                <w:rFonts w:ascii="Cambria" w:hAnsi="Cambria"/>
                <w:sz w:val="21"/>
                <w:szCs w:val="21"/>
                <w:lang w:val="en-GB"/>
              </w:rPr>
              <w:t>How can the impact on households be mitigated? What is the potential role of ETS revenues?</w:t>
            </w:r>
            <w:r w:rsidR="00A464E9" w:rsidRPr="00CB057F">
              <w:rPr>
                <w:rFonts w:ascii="Cambria" w:hAnsi="Cambria"/>
                <w:sz w:val="21"/>
                <w:szCs w:val="21"/>
                <w:lang w:val="en-GB"/>
              </w:rPr>
              <w:t xml:space="preserve"> Is the Climate Action Social Fund enough? </w:t>
            </w:r>
          </w:p>
          <w:p w14:paraId="4E059151" w14:textId="794B8697" w:rsidR="004F5FCD" w:rsidRPr="00CB057F" w:rsidRDefault="004F5FCD" w:rsidP="00CB057F">
            <w:pPr>
              <w:pStyle w:val="ListParagraph"/>
              <w:numPr>
                <w:ilvl w:val="0"/>
                <w:numId w:val="3"/>
              </w:numPr>
              <w:spacing w:after="120" w:line="240" w:lineRule="auto"/>
              <w:ind w:left="714" w:hanging="357"/>
              <w:rPr>
                <w:rFonts w:ascii="Cambria" w:hAnsi="Cambria"/>
                <w:b/>
                <w:bCs/>
                <w:sz w:val="21"/>
                <w:szCs w:val="21"/>
                <w:u w:val="single"/>
                <w:lang w:val="en-GB"/>
              </w:rPr>
            </w:pPr>
            <w:r w:rsidRPr="00CB057F">
              <w:rPr>
                <w:rFonts w:ascii="Cambria" w:hAnsi="Cambria"/>
                <w:sz w:val="21"/>
                <w:szCs w:val="21"/>
                <w:lang w:val="en-GB"/>
              </w:rPr>
              <w:t xml:space="preserve">Will these new ETS be combined with the original ETS? </w:t>
            </w:r>
          </w:p>
        </w:tc>
      </w:tr>
    </w:tbl>
    <w:p w14:paraId="3663C6CF" w14:textId="77777777" w:rsidR="00E77E63" w:rsidRPr="00006365" w:rsidRDefault="00E77E63" w:rsidP="00CB057F">
      <w:pPr>
        <w:spacing w:after="0"/>
        <w:jc w:val="both"/>
        <w:textAlignment w:val="baseline"/>
        <w:rPr>
          <w:rFonts w:ascii="Cambria" w:eastAsia="Times New Roman" w:hAnsi="Cambria" w:cs="Tahoma"/>
          <w:b/>
          <w:color w:val="000000" w:themeColor="text1"/>
          <w:sz w:val="20"/>
          <w:szCs w:val="20"/>
        </w:rPr>
      </w:pPr>
    </w:p>
    <w:p w14:paraId="27AFBBE1" w14:textId="77777777" w:rsidR="004F5FCD" w:rsidRPr="00006365" w:rsidRDefault="004F5FCD" w:rsidP="004F5FCD">
      <w:pPr>
        <w:spacing w:after="0"/>
        <w:ind w:left="1530" w:hanging="1530"/>
        <w:jc w:val="both"/>
        <w:textAlignment w:val="baseline"/>
        <w:rPr>
          <w:rFonts w:ascii="Cambria" w:eastAsia="Times New Roman" w:hAnsi="Cambria" w:cs="Tahoma"/>
          <w:b/>
          <w:color w:val="000000" w:themeColor="text1"/>
          <w:sz w:val="20"/>
          <w:szCs w:val="20"/>
        </w:rPr>
      </w:pPr>
    </w:p>
    <w:p w14:paraId="1BC77232" w14:textId="05AB8EF0" w:rsidR="004F5FCD" w:rsidRPr="00CB057F" w:rsidRDefault="00E77E63" w:rsidP="004F5FCD">
      <w:pPr>
        <w:spacing w:after="0"/>
        <w:ind w:left="1530" w:hanging="1530"/>
        <w:jc w:val="both"/>
        <w:textAlignment w:val="baseline"/>
        <w:rPr>
          <w:rFonts w:ascii="Cambria" w:eastAsia="Times New Roman" w:hAnsi="Cambria" w:cs="Tahoma"/>
          <w:b/>
          <w:color w:val="000000" w:themeColor="text1"/>
          <w:sz w:val="21"/>
          <w:szCs w:val="21"/>
        </w:rPr>
      </w:pPr>
      <w:r w:rsidRPr="00CB057F">
        <w:rPr>
          <w:rFonts w:ascii="Cambria" w:eastAsia="Times New Roman" w:hAnsi="Cambria" w:cs="Tahoma"/>
          <w:b/>
          <w:color w:val="000000" w:themeColor="text1"/>
          <w:sz w:val="21"/>
          <w:szCs w:val="21"/>
        </w:rPr>
        <w:t>1</w:t>
      </w:r>
      <w:r w:rsidR="003A2105">
        <w:rPr>
          <w:rFonts w:ascii="Cambria" w:eastAsia="Times New Roman" w:hAnsi="Cambria" w:cs="Tahoma"/>
          <w:b/>
          <w:color w:val="000000" w:themeColor="text1"/>
          <w:sz w:val="21"/>
          <w:szCs w:val="21"/>
        </w:rPr>
        <w:t>3</w:t>
      </w:r>
      <w:r w:rsidRPr="00CB057F">
        <w:rPr>
          <w:rFonts w:ascii="Cambria" w:eastAsia="Times New Roman" w:hAnsi="Cambria" w:cs="Tahoma"/>
          <w:b/>
          <w:color w:val="000000" w:themeColor="text1"/>
          <w:sz w:val="21"/>
          <w:szCs w:val="21"/>
        </w:rPr>
        <w:t>:00</w:t>
      </w:r>
      <w:r w:rsidR="004F5FCD" w:rsidRPr="00CB057F">
        <w:rPr>
          <w:rFonts w:ascii="Cambria" w:eastAsia="Times New Roman" w:hAnsi="Cambria" w:cs="Tahoma"/>
          <w:b/>
          <w:color w:val="000000" w:themeColor="text1"/>
          <w:sz w:val="21"/>
          <w:szCs w:val="21"/>
          <w:lang w:eastAsia="en-GB"/>
        </w:rPr>
        <w:tab/>
        <w:t xml:space="preserve">Welcome </w:t>
      </w:r>
    </w:p>
    <w:p w14:paraId="4D749844" w14:textId="01A86616" w:rsidR="004F5FCD" w:rsidRPr="00CB057F" w:rsidRDefault="008F074C" w:rsidP="007F664E">
      <w:pPr>
        <w:pStyle w:val="ListParagraph"/>
        <w:numPr>
          <w:ilvl w:val="0"/>
          <w:numId w:val="11"/>
        </w:numPr>
        <w:rPr>
          <w:rFonts w:ascii="Cambria" w:eastAsia="Times New Roman" w:hAnsi="Cambria"/>
          <w:sz w:val="21"/>
          <w:szCs w:val="21"/>
        </w:rPr>
      </w:pPr>
      <w:r w:rsidRPr="00CB057F">
        <w:rPr>
          <w:rFonts w:ascii="Cambria" w:eastAsia="Times New Roman" w:hAnsi="Cambria"/>
          <w:sz w:val="21"/>
          <w:szCs w:val="21"/>
        </w:rPr>
        <w:t xml:space="preserve">A. </w:t>
      </w:r>
      <w:r w:rsidR="004F5FCD" w:rsidRPr="00CB057F">
        <w:rPr>
          <w:rFonts w:ascii="Cambria" w:eastAsia="Times New Roman" w:hAnsi="Cambria"/>
          <w:sz w:val="21"/>
          <w:szCs w:val="21"/>
        </w:rPr>
        <w:t xml:space="preserve">Marcu, ERCST </w:t>
      </w:r>
      <w:r w:rsidR="007F664E" w:rsidRPr="00CB057F">
        <w:rPr>
          <w:rFonts w:ascii="Cambria" w:eastAsia="Times New Roman" w:hAnsi="Cambria"/>
          <w:sz w:val="21"/>
          <w:szCs w:val="21"/>
        </w:rPr>
        <w:t xml:space="preserve">Director </w:t>
      </w:r>
    </w:p>
    <w:p w14:paraId="1CBBE5E8" w14:textId="2E1AB8FF" w:rsidR="007F664E" w:rsidRPr="00CB057F" w:rsidRDefault="007F664E" w:rsidP="007F664E">
      <w:pPr>
        <w:spacing w:after="0"/>
        <w:jc w:val="both"/>
        <w:textAlignment w:val="baseline"/>
        <w:rPr>
          <w:rFonts w:ascii="Cambria" w:eastAsia="Times New Roman" w:hAnsi="Cambria" w:cs="Tahoma"/>
          <w:bCs/>
          <w:color w:val="000000" w:themeColor="text1"/>
          <w:sz w:val="21"/>
          <w:szCs w:val="21"/>
        </w:rPr>
      </w:pPr>
    </w:p>
    <w:p w14:paraId="5237E148" w14:textId="4053E58E" w:rsidR="007F664E" w:rsidRPr="00CB057F" w:rsidRDefault="00E77E63" w:rsidP="007F664E">
      <w:pPr>
        <w:spacing w:after="0"/>
        <w:jc w:val="both"/>
        <w:textAlignment w:val="baseline"/>
        <w:rPr>
          <w:rFonts w:ascii="Cambria" w:eastAsia="Times New Roman" w:hAnsi="Cambria" w:cs="Tahoma"/>
          <w:b/>
          <w:color w:val="000000" w:themeColor="text1"/>
          <w:sz w:val="21"/>
          <w:szCs w:val="21"/>
        </w:rPr>
      </w:pPr>
      <w:r w:rsidRPr="00CB057F">
        <w:rPr>
          <w:rFonts w:ascii="Cambria" w:eastAsia="Times New Roman" w:hAnsi="Cambria" w:cs="Tahoma"/>
          <w:b/>
          <w:color w:val="000000" w:themeColor="text1"/>
          <w:sz w:val="21"/>
          <w:szCs w:val="21"/>
        </w:rPr>
        <w:t>1</w:t>
      </w:r>
      <w:r w:rsidR="003A2105">
        <w:rPr>
          <w:rFonts w:ascii="Cambria" w:eastAsia="Times New Roman" w:hAnsi="Cambria" w:cs="Tahoma"/>
          <w:b/>
          <w:color w:val="000000" w:themeColor="text1"/>
          <w:sz w:val="21"/>
          <w:szCs w:val="21"/>
        </w:rPr>
        <w:t>3</w:t>
      </w:r>
      <w:r w:rsidRPr="00CB057F">
        <w:rPr>
          <w:rFonts w:ascii="Cambria" w:eastAsia="Times New Roman" w:hAnsi="Cambria" w:cs="Tahoma"/>
          <w:b/>
          <w:color w:val="000000" w:themeColor="text1"/>
          <w:sz w:val="21"/>
          <w:szCs w:val="21"/>
        </w:rPr>
        <w:t>:10</w:t>
      </w:r>
      <w:r w:rsidR="007F664E" w:rsidRPr="00CB057F">
        <w:rPr>
          <w:rFonts w:ascii="Cambria" w:eastAsia="Times New Roman" w:hAnsi="Cambria" w:cs="Tahoma"/>
          <w:b/>
          <w:color w:val="000000" w:themeColor="text1"/>
          <w:sz w:val="21"/>
          <w:szCs w:val="21"/>
        </w:rPr>
        <w:t xml:space="preserve">                </w:t>
      </w:r>
      <w:r w:rsidRPr="00CB057F">
        <w:rPr>
          <w:rFonts w:ascii="Cambria" w:eastAsia="Times New Roman" w:hAnsi="Cambria" w:cs="Tahoma"/>
          <w:b/>
          <w:color w:val="000000" w:themeColor="text1"/>
          <w:sz w:val="21"/>
          <w:szCs w:val="21"/>
        </w:rPr>
        <w:t xml:space="preserve">      </w:t>
      </w:r>
      <w:r w:rsidR="007F664E" w:rsidRPr="00CB057F">
        <w:rPr>
          <w:rFonts w:ascii="Cambria" w:eastAsia="Times New Roman" w:hAnsi="Cambria" w:cs="Tahoma"/>
          <w:b/>
          <w:color w:val="000000" w:themeColor="text1"/>
          <w:sz w:val="21"/>
          <w:szCs w:val="21"/>
        </w:rPr>
        <w:t xml:space="preserve">ERCST Presentation </w:t>
      </w:r>
    </w:p>
    <w:p w14:paraId="268F1828" w14:textId="6B8D7C4D" w:rsidR="007F664E" w:rsidRPr="00CB057F" w:rsidRDefault="007F664E" w:rsidP="007F664E">
      <w:pPr>
        <w:pStyle w:val="ListParagraph"/>
        <w:numPr>
          <w:ilvl w:val="0"/>
          <w:numId w:val="10"/>
        </w:numPr>
        <w:spacing w:after="0"/>
        <w:jc w:val="both"/>
        <w:textAlignment w:val="baseline"/>
        <w:rPr>
          <w:rFonts w:ascii="Cambria" w:eastAsia="Times New Roman" w:hAnsi="Cambria" w:cs="Tahoma"/>
          <w:bCs/>
          <w:color w:val="000000" w:themeColor="text1"/>
          <w:sz w:val="21"/>
          <w:szCs w:val="21"/>
        </w:rPr>
      </w:pPr>
      <w:r w:rsidRPr="00CB057F">
        <w:rPr>
          <w:rFonts w:ascii="Cambria" w:eastAsia="Times New Roman" w:hAnsi="Cambria" w:cs="Tahoma"/>
          <w:bCs/>
          <w:color w:val="000000" w:themeColor="text1"/>
          <w:sz w:val="21"/>
          <w:szCs w:val="21"/>
        </w:rPr>
        <w:t>A. Marcu, ERCST</w:t>
      </w:r>
    </w:p>
    <w:p w14:paraId="2DE691AE" w14:textId="4B0A8979" w:rsidR="007F664E" w:rsidRPr="00CB057F" w:rsidRDefault="007F664E" w:rsidP="007F664E">
      <w:pPr>
        <w:pStyle w:val="ListParagraph"/>
        <w:numPr>
          <w:ilvl w:val="0"/>
          <w:numId w:val="10"/>
        </w:numPr>
        <w:spacing w:after="0"/>
        <w:jc w:val="both"/>
        <w:textAlignment w:val="baseline"/>
        <w:rPr>
          <w:rFonts w:ascii="Cambria" w:eastAsia="Times New Roman" w:hAnsi="Cambria" w:cs="Tahoma"/>
          <w:bCs/>
          <w:color w:val="000000" w:themeColor="text1"/>
          <w:sz w:val="21"/>
          <w:szCs w:val="21"/>
        </w:rPr>
      </w:pPr>
      <w:r w:rsidRPr="00CB057F">
        <w:rPr>
          <w:rFonts w:ascii="Cambria" w:eastAsia="Times New Roman" w:hAnsi="Cambria" w:cs="Tahoma"/>
          <w:bCs/>
          <w:color w:val="000000" w:themeColor="text1"/>
          <w:sz w:val="21"/>
          <w:szCs w:val="21"/>
        </w:rPr>
        <w:t xml:space="preserve">S. </w:t>
      </w:r>
      <w:proofErr w:type="spellStart"/>
      <w:r w:rsidRPr="00CB057F">
        <w:rPr>
          <w:rFonts w:ascii="Cambria" w:eastAsia="Times New Roman" w:hAnsi="Cambria" w:cs="Tahoma"/>
          <w:bCs/>
          <w:color w:val="000000" w:themeColor="text1"/>
          <w:sz w:val="21"/>
          <w:szCs w:val="21"/>
        </w:rPr>
        <w:t>Cabras</w:t>
      </w:r>
      <w:proofErr w:type="spellEnd"/>
      <w:r w:rsidRPr="00CB057F">
        <w:rPr>
          <w:rFonts w:ascii="Cambria" w:eastAsia="Times New Roman" w:hAnsi="Cambria" w:cs="Tahoma"/>
          <w:bCs/>
          <w:color w:val="000000" w:themeColor="text1"/>
          <w:sz w:val="21"/>
          <w:szCs w:val="21"/>
        </w:rPr>
        <w:t>, ERCST</w:t>
      </w:r>
    </w:p>
    <w:p w14:paraId="2D0A1762" w14:textId="1E8DB6A0" w:rsidR="007F664E" w:rsidRPr="00CB057F" w:rsidRDefault="007F664E" w:rsidP="004F5FCD">
      <w:pPr>
        <w:spacing w:after="0"/>
        <w:jc w:val="both"/>
        <w:textAlignment w:val="baseline"/>
        <w:rPr>
          <w:rFonts w:ascii="Cambria" w:eastAsia="Times New Roman" w:hAnsi="Cambria" w:cs="Tahoma"/>
          <w:b/>
          <w:color w:val="000000" w:themeColor="text1"/>
          <w:sz w:val="21"/>
          <w:szCs w:val="21"/>
        </w:rPr>
      </w:pPr>
    </w:p>
    <w:p w14:paraId="3DA3C9E1" w14:textId="4F848797" w:rsidR="00E77E63" w:rsidRPr="00CB057F" w:rsidRDefault="00E77E63" w:rsidP="004F5FCD">
      <w:pPr>
        <w:spacing w:after="0"/>
        <w:jc w:val="both"/>
        <w:textAlignment w:val="baseline"/>
        <w:rPr>
          <w:rFonts w:ascii="Cambria" w:eastAsia="Times New Roman" w:hAnsi="Cambria" w:cs="Tahoma"/>
          <w:b/>
          <w:color w:val="000000" w:themeColor="text1"/>
          <w:sz w:val="21"/>
          <w:szCs w:val="21"/>
        </w:rPr>
      </w:pPr>
    </w:p>
    <w:p w14:paraId="2A52974E" w14:textId="77777777" w:rsidR="00E77E63" w:rsidRPr="00CB057F" w:rsidRDefault="00E77E63" w:rsidP="004F5FCD">
      <w:pPr>
        <w:spacing w:after="0"/>
        <w:jc w:val="both"/>
        <w:textAlignment w:val="baseline"/>
        <w:rPr>
          <w:rFonts w:ascii="Cambria" w:eastAsia="Times New Roman" w:hAnsi="Cambria" w:cs="Tahoma"/>
          <w:b/>
          <w:color w:val="000000" w:themeColor="text1"/>
          <w:sz w:val="21"/>
          <w:szCs w:val="21"/>
        </w:rPr>
      </w:pPr>
    </w:p>
    <w:p w14:paraId="2E463790" w14:textId="528D05F6" w:rsidR="004F5FCD" w:rsidRPr="00CB057F" w:rsidRDefault="00E77E63" w:rsidP="004F5FCD">
      <w:pPr>
        <w:spacing w:after="0"/>
        <w:jc w:val="both"/>
        <w:textAlignment w:val="baseline"/>
        <w:rPr>
          <w:rFonts w:ascii="Cambria" w:eastAsia="Times New Roman" w:hAnsi="Cambria" w:cs="Tahoma"/>
          <w:b/>
          <w:color w:val="000000" w:themeColor="text1"/>
          <w:sz w:val="21"/>
          <w:szCs w:val="21"/>
        </w:rPr>
      </w:pPr>
      <w:r w:rsidRPr="00CB057F">
        <w:rPr>
          <w:rFonts w:ascii="Cambria" w:eastAsia="Times New Roman" w:hAnsi="Cambria" w:cs="Tahoma"/>
          <w:b/>
          <w:color w:val="000000" w:themeColor="text1"/>
          <w:sz w:val="21"/>
          <w:szCs w:val="21"/>
        </w:rPr>
        <w:lastRenderedPageBreak/>
        <w:t>1</w:t>
      </w:r>
      <w:r w:rsidR="003A2105">
        <w:rPr>
          <w:rFonts w:ascii="Cambria" w:eastAsia="Times New Roman" w:hAnsi="Cambria" w:cs="Tahoma"/>
          <w:b/>
          <w:color w:val="000000" w:themeColor="text1"/>
          <w:sz w:val="21"/>
          <w:szCs w:val="21"/>
        </w:rPr>
        <w:t>3</w:t>
      </w:r>
      <w:r w:rsidRPr="00CB057F">
        <w:rPr>
          <w:rFonts w:ascii="Cambria" w:eastAsia="Times New Roman" w:hAnsi="Cambria" w:cs="Tahoma"/>
          <w:b/>
          <w:color w:val="000000" w:themeColor="text1"/>
          <w:sz w:val="21"/>
          <w:szCs w:val="21"/>
        </w:rPr>
        <w:t>:25</w:t>
      </w:r>
      <w:r w:rsidR="004F5FCD" w:rsidRPr="00CB057F">
        <w:rPr>
          <w:rFonts w:ascii="Cambria" w:eastAsia="Times New Roman" w:hAnsi="Cambria" w:cs="Tahoma"/>
          <w:b/>
          <w:color w:val="000000" w:themeColor="text1"/>
          <w:sz w:val="21"/>
          <w:szCs w:val="21"/>
        </w:rPr>
        <w:tab/>
      </w:r>
      <w:r w:rsidRPr="00CB057F">
        <w:rPr>
          <w:rFonts w:ascii="Cambria" w:eastAsia="Times New Roman" w:hAnsi="Cambria" w:cs="Tahoma"/>
          <w:b/>
          <w:color w:val="000000" w:themeColor="text1"/>
          <w:sz w:val="21"/>
          <w:szCs w:val="21"/>
        </w:rPr>
        <w:t xml:space="preserve">                   </w:t>
      </w:r>
      <w:r w:rsidR="004F5FCD" w:rsidRPr="00CB057F">
        <w:rPr>
          <w:rFonts w:ascii="Cambria" w:eastAsia="Times New Roman" w:hAnsi="Cambria" w:cs="Tahoma"/>
          <w:b/>
          <w:color w:val="000000" w:themeColor="text1"/>
          <w:sz w:val="21"/>
          <w:szCs w:val="21"/>
        </w:rPr>
        <w:t xml:space="preserve">Roundtable Discussion </w:t>
      </w:r>
    </w:p>
    <w:p w14:paraId="128D27D4" w14:textId="77777777" w:rsidR="004F5FCD" w:rsidRPr="00CB057F" w:rsidRDefault="004F5FCD" w:rsidP="004F5FCD">
      <w:pPr>
        <w:spacing w:after="0"/>
        <w:jc w:val="both"/>
        <w:textAlignment w:val="baseline"/>
        <w:rPr>
          <w:rFonts w:ascii="Cambria" w:eastAsia="Times New Roman" w:hAnsi="Cambria" w:cs="Tahoma"/>
          <w:b/>
          <w:color w:val="000000" w:themeColor="text1"/>
          <w:sz w:val="21"/>
          <w:szCs w:val="21"/>
        </w:rPr>
      </w:pPr>
    </w:p>
    <w:p w14:paraId="3329CBC7" w14:textId="3DFC96E2" w:rsidR="00A76EC6" w:rsidRPr="00CB057F" w:rsidRDefault="00A76EC6" w:rsidP="00006365">
      <w:pPr>
        <w:pStyle w:val="ListParagraph"/>
        <w:numPr>
          <w:ilvl w:val="0"/>
          <w:numId w:val="9"/>
        </w:numPr>
        <w:spacing w:after="0"/>
        <w:jc w:val="both"/>
        <w:textAlignment w:val="baseline"/>
        <w:rPr>
          <w:rFonts w:ascii="Cambria" w:eastAsia="Times New Roman" w:hAnsi="Cambria" w:cs="Tahoma"/>
          <w:bCs/>
          <w:color w:val="000000" w:themeColor="text1"/>
          <w:sz w:val="21"/>
          <w:szCs w:val="21"/>
          <w:lang w:val="en-GB"/>
        </w:rPr>
      </w:pPr>
      <w:r w:rsidRPr="00CB057F">
        <w:rPr>
          <w:rFonts w:ascii="Cambria" w:eastAsia="Times New Roman" w:hAnsi="Cambria" w:cs="Tahoma"/>
          <w:bCs/>
          <w:color w:val="000000" w:themeColor="text1"/>
          <w:sz w:val="21"/>
          <w:szCs w:val="21"/>
          <w:lang w:val="en-GB"/>
        </w:rPr>
        <w:t>P. Arak</w:t>
      </w:r>
      <w:r w:rsidR="004F5FCD" w:rsidRPr="00CB057F">
        <w:rPr>
          <w:rFonts w:ascii="Cambria" w:eastAsia="Times New Roman" w:hAnsi="Cambria" w:cs="Tahoma"/>
          <w:bCs/>
          <w:color w:val="000000" w:themeColor="text1"/>
          <w:sz w:val="21"/>
          <w:szCs w:val="21"/>
          <w:lang w:val="en-GB"/>
        </w:rPr>
        <w:t xml:space="preserve">, </w:t>
      </w:r>
      <w:r w:rsidRPr="00CB057F">
        <w:rPr>
          <w:rFonts w:ascii="Cambria" w:eastAsia="Times New Roman" w:hAnsi="Cambria" w:cs="Tahoma"/>
          <w:bCs/>
          <w:color w:val="000000" w:themeColor="text1"/>
          <w:sz w:val="21"/>
          <w:szCs w:val="21"/>
          <w:lang w:val="en-GB"/>
        </w:rPr>
        <w:t xml:space="preserve">PEI </w:t>
      </w:r>
    </w:p>
    <w:p w14:paraId="5757C2CA" w14:textId="5AFCF219" w:rsidR="00A76EC6" w:rsidRPr="00CB057F" w:rsidRDefault="00746954" w:rsidP="00A43A5A">
      <w:pPr>
        <w:pStyle w:val="ListParagraph"/>
        <w:numPr>
          <w:ilvl w:val="0"/>
          <w:numId w:val="9"/>
        </w:numPr>
        <w:textAlignment w:val="baseline"/>
        <w:rPr>
          <w:rFonts w:ascii="Cambria" w:eastAsia="Times New Roman" w:hAnsi="Cambria" w:cs="Tahoma"/>
          <w:bCs/>
          <w:color w:val="000000" w:themeColor="text1"/>
          <w:sz w:val="21"/>
          <w:szCs w:val="21"/>
          <w:lang w:val="en-GB"/>
        </w:rPr>
      </w:pPr>
      <w:r w:rsidRPr="00CB057F">
        <w:rPr>
          <w:rFonts w:ascii="Cambria" w:eastAsia="Times New Roman" w:hAnsi="Cambria" w:cs="Tahoma"/>
          <w:bCs/>
          <w:color w:val="000000" w:themeColor="text1"/>
          <w:sz w:val="21"/>
          <w:szCs w:val="21"/>
          <w:lang w:val="en-GB"/>
        </w:rPr>
        <w:t>M. Pollitt,</w:t>
      </w:r>
      <w:r w:rsidR="00A76EC6" w:rsidRPr="00CB057F">
        <w:rPr>
          <w:rFonts w:ascii="Cambria" w:eastAsia="Times New Roman" w:hAnsi="Cambria" w:cs="Tahoma"/>
          <w:bCs/>
          <w:color w:val="000000" w:themeColor="text1"/>
          <w:sz w:val="21"/>
          <w:szCs w:val="21"/>
          <w:lang w:val="en-GB"/>
        </w:rPr>
        <w:t xml:space="preserve"> CERRE and University of Cambridge</w:t>
      </w:r>
    </w:p>
    <w:p w14:paraId="34E087DE" w14:textId="6E2AE574" w:rsidR="00746954" w:rsidRPr="00CB057F" w:rsidRDefault="00DC15D0" w:rsidP="00A43A5A">
      <w:pPr>
        <w:pStyle w:val="ListParagraph"/>
        <w:numPr>
          <w:ilvl w:val="0"/>
          <w:numId w:val="9"/>
        </w:numPr>
        <w:textAlignment w:val="baseline"/>
        <w:rPr>
          <w:rFonts w:ascii="Cambria" w:eastAsia="Times New Roman" w:hAnsi="Cambria" w:cs="Tahoma"/>
          <w:bCs/>
          <w:color w:val="000000" w:themeColor="text1"/>
          <w:sz w:val="21"/>
          <w:szCs w:val="21"/>
          <w:lang w:val="en-GB"/>
        </w:rPr>
      </w:pPr>
      <w:r>
        <w:rPr>
          <w:rFonts w:ascii="Cambria" w:eastAsia="Times New Roman" w:hAnsi="Cambria" w:cs="Tahoma"/>
          <w:bCs/>
          <w:color w:val="000000" w:themeColor="text1"/>
          <w:sz w:val="21"/>
          <w:szCs w:val="21"/>
          <w:lang w:val="en-GB"/>
        </w:rPr>
        <w:t xml:space="preserve">P. </w:t>
      </w:r>
      <w:proofErr w:type="spellStart"/>
      <w:r>
        <w:rPr>
          <w:rFonts w:ascii="Cambria" w:eastAsia="Times New Roman" w:hAnsi="Cambria" w:cs="Tahoma"/>
          <w:bCs/>
          <w:color w:val="000000" w:themeColor="text1"/>
          <w:sz w:val="21"/>
          <w:szCs w:val="21"/>
          <w:lang w:val="en-GB"/>
        </w:rPr>
        <w:t>Gregorin</w:t>
      </w:r>
      <w:proofErr w:type="spellEnd"/>
      <w:r w:rsidR="00746954" w:rsidRPr="00CB057F">
        <w:rPr>
          <w:rFonts w:ascii="Cambria" w:eastAsia="Times New Roman" w:hAnsi="Cambria" w:cs="Tahoma"/>
          <w:bCs/>
          <w:color w:val="000000" w:themeColor="text1"/>
          <w:sz w:val="21"/>
          <w:szCs w:val="21"/>
          <w:lang w:val="en-GB"/>
        </w:rPr>
        <w:t xml:space="preserve">, </w:t>
      </w:r>
      <w:r w:rsidR="00A50ABD" w:rsidRPr="00CB057F">
        <w:rPr>
          <w:rFonts w:ascii="Cambria" w:eastAsia="Times New Roman" w:hAnsi="Cambria" w:cs="Tahoma"/>
          <w:bCs/>
          <w:color w:val="000000" w:themeColor="text1"/>
          <w:sz w:val="21"/>
          <w:szCs w:val="21"/>
          <w:lang w:val="en-GB"/>
        </w:rPr>
        <w:t>EU Commission</w:t>
      </w:r>
    </w:p>
    <w:p w14:paraId="4B68EC38" w14:textId="0B714686" w:rsidR="00546274" w:rsidRPr="00CB057F" w:rsidRDefault="00DD50FC" w:rsidP="00A43A5A">
      <w:pPr>
        <w:pStyle w:val="ListParagraph"/>
        <w:numPr>
          <w:ilvl w:val="0"/>
          <w:numId w:val="9"/>
        </w:numPr>
        <w:spacing w:after="0"/>
        <w:jc w:val="both"/>
        <w:textAlignment w:val="baseline"/>
        <w:rPr>
          <w:rFonts w:ascii="Cambria" w:eastAsia="Times New Roman" w:hAnsi="Cambria" w:cs="Tahoma"/>
          <w:bCs/>
          <w:color w:val="000000" w:themeColor="text1"/>
          <w:sz w:val="21"/>
          <w:szCs w:val="21"/>
          <w:lang w:val="en-GB"/>
        </w:rPr>
      </w:pPr>
      <w:r w:rsidRPr="00CB057F">
        <w:rPr>
          <w:rFonts w:ascii="Cambria" w:eastAsia="Times New Roman" w:hAnsi="Cambria" w:cs="Tahoma"/>
          <w:bCs/>
          <w:color w:val="000000" w:themeColor="text1"/>
          <w:sz w:val="21"/>
          <w:szCs w:val="21"/>
          <w:lang w:val="en-GB"/>
        </w:rPr>
        <w:t>J. Hein, BDI</w:t>
      </w:r>
    </w:p>
    <w:p w14:paraId="5AD3B543" w14:textId="77777777" w:rsidR="004F5FCD" w:rsidRPr="00CB057F" w:rsidRDefault="004F5FCD" w:rsidP="004F5FCD">
      <w:pPr>
        <w:spacing w:after="0"/>
        <w:jc w:val="both"/>
        <w:textAlignment w:val="baseline"/>
        <w:rPr>
          <w:rFonts w:ascii="Cambria" w:eastAsia="Times New Roman" w:hAnsi="Cambria" w:cs="Tahoma"/>
          <w:b/>
          <w:color w:val="000000" w:themeColor="text1"/>
          <w:sz w:val="21"/>
          <w:szCs w:val="21"/>
          <w:lang w:val="en-GB"/>
        </w:rPr>
      </w:pPr>
    </w:p>
    <w:p w14:paraId="06DDBB5D" w14:textId="77777777" w:rsidR="004F5FCD" w:rsidRPr="00CB057F" w:rsidRDefault="004F5FCD" w:rsidP="004F5FCD">
      <w:pPr>
        <w:spacing w:after="0"/>
        <w:jc w:val="both"/>
        <w:textAlignment w:val="baseline"/>
        <w:rPr>
          <w:rFonts w:ascii="Cambria" w:eastAsia="Times New Roman" w:hAnsi="Cambria" w:cs="Tahoma"/>
          <w:b/>
          <w:color w:val="000000" w:themeColor="text1"/>
          <w:sz w:val="21"/>
          <w:szCs w:val="21"/>
        </w:rPr>
      </w:pPr>
    </w:p>
    <w:p w14:paraId="0369811B" w14:textId="06C09F08" w:rsidR="004F5FCD" w:rsidRPr="00CB057F" w:rsidRDefault="00E77E63" w:rsidP="004F5FCD">
      <w:pPr>
        <w:spacing w:after="0"/>
        <w:jc w:val="both"/>
        <w:textAlignment w:val="baseline"/>
        <w:rPr>
          <w:rFonts w:ascii="Cambria" w:eastAsia="Times New Roman" w:hAnsi="Cambria" w:cs="Tahoma"/>
          <w:b/>
          <w:color w:val="000000" w:themeColor="text1"/>
          <w:sz w:val="21"/>
          <w:szCs w:val="21"/>
        </w:rPr>
      </w:pPr>
      <w:r w:rsidRPr="00CB057F">
        <w:rPr>
          <w:rFonts w:ascii="Cambria" w:eastAsia="Times New Roman" w:hAnsi="Cambria" w:cs="Tahoma"/>
          <w:b/>
          <w:color w:val="000000" w:themeColor="text1"/>
          <w:sz w:val="21"/>
          <w:szCs w:val="21"/>
        </w:rPr>
        <w:t>1</w:t>
      </w:r>
      <w:r w:rsidR="003A2105">
        <w:rPr>
          <w:rFonts w:ascii="Cambria" w:eastAsia="Times New Roman" w:hAnsi="Cambria" w:cs="Tahoma"/>
          <w:b/>
          <w:color w:val="000000" w:themeColor="text1"/>
          <w:sz w:val="21"/>
          <w:szCs w:val="21"/>
        </w:rPr>
        <w:t>5</w:t>
      </w:r>
      <w:r w:rsidRPr="00CB057F">
        <w:rPr>
          <w:rFonts w:ascii="Cambria" w:eastAsia="Times New Roman" w:hAnsi="Cambria" w:cs="Tahoma"/>
          <w:b/>
          <w:color w:val="000000" w:themeColor="text1"/>
          <w:sz w:val="21"/>
          <w:szCs w:val="21"/>
        </w:rPr>
        <w:t>:00</w:t>
      </w:r>
      <w:r w:rsidR="007F664E" w:rsidRPr="00CB057F">
        <w:rPr>
          <w:rFonts w:ascii="Cambria" w:eastAsia="Times New Roman" w:hAnsi="Cambria" w:cs="Tahoma"/>
          <w:b/>
          <w:color w:val="000000" w:themeColor="text1"/>
          <w:sz w:val="21"/>
          <w:szCs w:val="21"/>
        </w:rPr>
        <w:t xml:space="preserve">               </w:t>
      </w:r>
      <w:r w:rsidRPr="00CB057F">
        <w:rPr>
          <w:rFonts w:ascii="Cambria" w:eastAsia="Times New Roman" w:hAnsi="Cambria" w:cs="Tahoma"/>
          <w:b/>
          <w:color w:val="000000" w:themeColor="text1"/>
          <w:sz w:val="21"/>
          <w:szCs w:val="21"/>
        </w:rPr>
        <w:t xml:space="preserve">         </w:t>
      </w:r>
      <w:r w:rsidR="004F5FCD" w:rsidRPr="00CB057F">
        <w:rPr>
          <w:rFonts w:ascii="Cambria" w:eastAsia="Times New Roman" w:hAnsi="Cambria" w:cs="Tahoma"/>
          <w:b/>
          <w:color w:val="000000" w:themeColor="text1"/>
          <w:sz w:val="21"/>
          <w:szCs w:val="21"/>
        </w:rPr>
        <w:t>End</w:t>
      </w:r>
    </w:p>
    <w:p w14:paraId="018AA3A2" w14:textId="75E37FB9" w:rsidR="004F5FCD" w:rsidRDefault="004F5FCD" w:rsidP="004F5FCD">
      <w:pPr>
        <w:spacing w:after="0"/>
        <w:jc w:val="both"/>
        <w:textAlignment w:val="baseline"/>
        <w:rPr>
          <w:rFonts w:ascii="Cambria" w:eastAsia="Times New Roman" w:hAnsi="Cambria" w:cs="Tahoma"/>
          <w:b/>
          <w:color w:val="000000" w:themeColor="text1"/>
          <w:sz w:val="20"/>
          <w:szCs w:val="20"/>
        </w:rPr>
      </w:pPr>
    </w:p>
    <w:p w14:paraId="3EB42185" w14:textId="77777777" w:rsidR="004F5FCD" w:rsidRDefault="004F5FCD" w:rsidP="004F5FCD">
      <w:pPr>
        <w:spacing w:after="0"/>
        <w:jc w:val="both"/>
        <w:textAlignment w:val="baseline"/>
        <w:rPr>
          <w:rFonts w:ascii="Cambria" w:eastAsia="Times New Roman" w:hAnsi="Cambria" w:cs="Tahoma"/>
          <w:b/>
          <w:color w:val="000000" w:themeColor="text1"/>
          <w:sz w:val="20"/>
          <w:szCs w:val="20"/>
        </w:rPr>
      </w:pPr>
    </w:p>
    <w:p w14:paraId="1F76B07B" w14:textId="77777777" w:rsidR="004F5FCD" w:rsidRDefault="004F5FCD" w:rsidP="004F5FCD">
      <w:pPr>
        <w:spacing w:after="0"/>
        <w:jc w:val="both"/>
        <w:textAlignment w:val="baseline"/>
        <w:rPr>
          <w:rFonts w:ascii="Cambria" w:eastAsia="Times New Roman" w:hAnsi="Cambria" w:cs="Tahoma"/>
          <w:b/>
          <w:color w:val="000000" w:themeColor="text1"/>
          <w:sz w:val="20"/>
          <w:szCs w:val="20"/>
        </w:rPr>
      </w:pPr>
    </w:p>
    <w:p w14:paraId="275D105D" w14:textId="77777777" w:rsidR="004F5FCD" w:rsidRDefault="004F5FCD" w:rsidP="004F5FCD">
      <w:pPr>
        <w:spacing w:after="0"/>
        <w:jc w:val="both"/>
        <w:textAlignment w:val="baseline"/>
        <w:rPr>
          <w:rFonts w:ascii="Cambria" w:eastAsia="Times New Roman" w:hAnsi="Cambria" w:cs="Tahoma"/>
          <w:b/>
          <w:color w:val="000000" w:themeColor="text1"/>
          <w:sz w:val="20"/>
          <w:szCs w:val="20"/>
        </w:rPr>
      </w:pPr>
    </w:p>
    <w:p w14:paraId="799FA230" w14:textId="77777777" w:rsidR="00FB30F8" w:rsidRDefault="00FA21D1"/>
    <w:sectPr w:rsidR="00FB30F8"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4FEB" w14:textId="77777777" w:rsidR="00FA21D1" w:rsidRDefault="00FA21D1">
      <w:pPr>
        <w:spacing w:after="0" w:line="240" w:lineRule="auto"/>
      </w:pPr>
      <w:r>
        <w:separator/>
      </w:r>
    </w:p>
  </w:endnote>
  <w:endnote w:type="continuationSeparator" w:id="0">
    <w:p w14:paraId="0F9F4F03" w14:textId="77777777" w:rsidR="00FA21D1" w:rsidRDefault="00FA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7050" w14:textId="77777777" w:rsidR="001836E2" w:rsidRDefault="00A464E9"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239B36" w14:textId="77777777" w:rsidR="001836E2" w:rsidRDefault="00FA21D1"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B9D" w14:textId="77777777" w:rsidR="00055E76" w:rsidRDefault="00FA21D1" w:rsidP="00055E76">
    <w:pPr>
      <w:pBdr>
        <w:bottom w:val="single" w:sz="6" w:space="1" w:color="auto"/>
      </w:pBdr>
      <w:spacing w:after="0" w:line="240" w:lineRule="auto"/>
      <w:jc w:val="center"/>
      <w:rPr>
        <w:rStyle w:val="apple-converted-space"/>
        <w:rFonts w:ascii="Calibri" w:hAnsi="Calibri"/>
        <w:color w:val="000000"/>
      </w:rPr>
    </w:pPr>
  </w:p>
  <w:p w14:paraId="35713D10" w14:textId="77777777" w:rsidR="00055E76" w:rsidRDefault="00FA21D1" w:rsidP="00055E76">
    <w:pPr>
      <w:spacing w:after="0" w:line="240" w:lineRule="auto"/>
      <w:jc w:val="center"/>
      <w:rPr>
        <w:rStyle w:val="apple-converted-space"/>
        <w:rFonts w:ascii="Calibri" w:hAnsi="Calibri"/>
        <w:color w:val="000000"/>
      </w:rPr>
    </w:pPr>
  </w:p>
  <w:p w14:paraId="54405F49" w14:textId="77777777" w:rsidR="00055E76" w:rsidRPr="00055E76" w:rsidRDefault="00FA21D1" w:rsidP="00055E76">
    <w:pPr>
      <w:spacing w:after="0" w:line="240" w:lineRule="auto"/>
      <w:jc w:val="center"/>
      <w:rPr>
        <w:rFonts w:ascii="Calibri" w:hAnsi="Calibri"/>
        <w:color w:val="000000"/>
      </w:rPr>
    </w:pPr>
    <w:hyperlink r:id="rId1" w:history="1">
      <w:r w:rsidR="00A464E9" w:rsidRPr="00055E76">
        <w:rPr>
          <w:rStyle w:val="Hyperlink"/>
          <w:rFonts w:ascii="Calibri" w:hAnsi="Calibri"/>
        </w:rPr>
        <w:t xml:space="preserve">Our Values </w:t>
      </w:r>
    </w:hyperlink>
    <w:r w:rsidR="00A464E9">
      <w:rPr>
        <w:rFonts w:eastAsia="Times New Roman"/>
        <w:sz w:val="24"/>
        <w:szCs w:val="24"/>
        <w:lang w:val="en-BE" w:eastAsia="en-GB"/>
      </w:rPr>
      <w:t xml:space="preserve"> </w:t>
    </w:r>
  </w:p>
  <w:p w14:paraId="44945081" w14:textId="77777777" w:rsidR="00055E76" w:rsidRDefault="00FA21D1">
    <w:pPr>
      <w:pStyle w:val="Footer"/>
    </w:pPr>
  </w:p>
  <w:p w14:paraId="08E14EAA" w14:textId="77777777" w:rsidR="009344D6" w:rsidRDefault="00FA21D1" w:rsidP="009344D6">
    <w:pPr>
      <w:pStyle w:val="Footer"/>
      <w:tabs>
        <w:tab w:val="clear" w:pos="4819"/>
        <w:tab w:val="clear" w:pos="9638"/>
        <w:tab w:val="left" w:pos="2160"/>
      </w:tabs>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10A0" w14:textId="77777777" w:rsidR="00FA21D1" w:rsidRDefault="00FA21D1">
      <w:pPr>
        <w:spacing w:after="0" w:line="240" w:lineRule="auto"/>
      </w:pPr>
      <w:r>
        <w:separator/>
      </w:r>
    </w:p>
  </w:footnote>
  <w:footnote w:type="continuationSeparator" w:id="0">
    <w:p w14:paraId="7B1E64A4" w14:textId="77777777" w:rsidR="00FA21D1" w:rsidRDefault="00FA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83AC" w14:textId="77777777" w:rsidR="000A0597" w:rsidRDefault="00A464E9" w:rsidP="009A79CE">
    <w:pPr>
      <w:pStyle w:val="Header"/>
    </w:pPr>
    <w:r>
      <w:rPr>
        <w:noProof/>
        <w:lang w:val="en-GB" w:eastAsia="en-GB"/>
      </w:rPr>
      <w:drawing>
        <wp:inline distT="0" distB="0" distL="0" distR="0" wp14:anchorId="26DBC6EA" wp14:editId="586AD04E">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774D26B0" w14:textId="77777777" w:rsidR="00216D58" w:rsidRDefault="00FA21D1" w:rsidP="001B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3EF"/>
    <w:multiLevelType w:val="hybridMultilevel"/>
    <w:tmpl w:val="B426B29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33B6871"/>
    <w:multiLevelType w:val="hybridMultilevel"/>
    <w:tmpl w:val="E92E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57D43"/>
    <w:multiLevelType w:val="hybridMultilevel"/>
    <w:tmpl w:val="93B04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F1A8D"/>
    <w:multiLevelType w:val="hybridMultilevel"/>
    <w:tmpl w:val="E486A29A"/>
    <w:lvl w:ilvl="0" w:tplc="08090001">
      <w:start w:val="1"/>
      <w:numFmt w:val="bullet"/>
      <w:lvlText w:val=""/>
      <w:lvlJc w:val="left"/>
      <w:pPr>
        <w:ind w:left="1352" w:hanging="360"/>
      </w:pPr>
      <w:rPr>
        <w:rFonts w:ascii="Symbol" w:hAnsi="Symbol" w:hint="default"/>
      </w:rPr>
    </w:lvl>
    <w:lvl w:ilvl="1" w:tplc="08090003">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4" w15:restartNumberingAfterBreak="0">
    <w:nsid w:val="2A7F0892"/>
    <w:multiLevelType w:val="hybridMultilevel"/>
    <w:tmpl w:val="006CA154"/>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15:restartNumberingAfterBreak="0">
    <w:nsid w:val="3FD80A3D"/>
    <w:multiLevelType w:val="hybridMultilevel"/>
    <w:tmpl w:val="F382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12FB7"/>
    <w:multiLevelType w:val="hybridMultilevel"/>
    <w:tmpl w:val="9A3ED6BE"/>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7" w15:restartNumberingAfterBreak="0">
    <w:nsid w:val="48E4118A"/>
    <w:multiLevelType w:val="hybridMultilevel"/>
    <w:tmpl w:val="08143A6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8" w15:restartNumberingAfterBreak="0">
    <w:nsid w:val="49365C7E"/>
    <w:multiLevelType w:val="hybridMultilevel"/>
    <w:tmpl w:val="12B401B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49661991"/>
    <w:multiLevelType w:val="hybridMultilevel"/>
    <w:tmpl w:val="9D6A94CA"/>
    <w:lvl w:ilvl="0" w:tplc="B38A3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9D0D74"/>
    <w:multiLevelType w:val="hybridMultilevel"/>
    <w:tmpl w:val="A4DAD53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1" w15:restartNumberingAfterBreak="0">
    <w:nsid w:val="6EAE572E"/>
    <w:multiLevelType w:val="hybridMultilevel"/>
    <w:tmpl w:val="A21EFDF8"/>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1"/>
  </w:num>
  <w:num w:numId="6">
    <w:abstractNumId w:val="6"/>
  </w:num>
  <w:num w:numId="7">
    <w:abstractNumId w:val="0"/>
  </w:num>
  <w:num w:numId="8">
    <w:abstractNumId w:val="8"/>
  </w:num>
  <w:num w:numId="9">
    <w:abstractNumId w:val="7"/>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CD"/>
    <w:rsid w:val="00006365"/>
    <w:rsid w:val="00035CEF"/>
    <w:rsid w:val="000F7E34"/>
    <w:rsid w:val="00107C09"/>
    <w:rsid w:val="001B244B"/>
    <w:rsid w:val="00284176"/>
    <w:rsid w:val="002865C6"/>
    <w:rsid w:val="0032738D"/>
    <w:rsid w:val="003A2105"/>
    <w:rsid w:val="004D75CF"/>
    <w:rsid w:val="004F5FCD"/>
    <w:rsid w:val="00546274"/>
    <w:rsid w:val="005F7AB2"/>
    <w:rsid w:val="006A545C"/>
    <w:rsid w:val="006C4D02"/>
    <w:rsid w:val="00746954"/>
    <w:rsid w:val="007F664E"/>
    <w:rsid w:val="008F074C"/>
    <w:rsid w:val="00941F6F"/>
    <w:rsid w:val="00A43A5A"/>
    <w:rsid w:val="00A464E9"/>
    <w:rsid w:val="00A50ABD"/>
    <w:rsid w:val="00A76EC6"/>
    <w:rsid w:val="00BD37A7"/>
    <w:rsid w:val="00CB057F"/>
    <w:rsid w:val="00CC088C"/>
    <w:rsid w:val="00CE4401"/>
    <w:rsid w:val="00D625F8"/>
    <w:rsid w:val="00DC15D0"/>
    <w:rsid w:val="00DD50FC"/>
    <w:rsid w:val="00E77E63"/>
    <w:rsid w:val="00E97BB6"/>
    <w:rsid w:val="00EF5589"/>
    <w:rsid w:val="00F2511D"/>
    <w:rsid w:val="00FA21D1"/>
    <w:rsid w:val="00FC71E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416ADEA"/>
  <w15:chartTrackingRefBased/>
  <w15:docId w15:val="{7FDA9B12-F7B3-684B-8FD7-BF971B6F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CD"/>
    <w:pPr>
      <w:spacing w:after="200" w:line="276" w:lineRule="auto"/>
    </w:pPr>
    <w:rPr>
      <w:rFonts w:eastAsiaTheme="minorEastAs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4F5FC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4F5F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5FCD"/>
    <w:rPr>
      <w:rFonts w:eastAsiaTheme="minorEastAsia"/>
      <w:sz w:val="22"/>
      <w:szCs w:val="22"/>
      <w:lang w:val="en-US" w:eastAsia="zh-CN"/>
    </w:rPr>
  </w:style>
  <w:style w:type="paragraph" w:styleId="Footer">
    <w:name w:val="footer"/>
    <w:basedOn w:val="Normal"/>
    <w:link w:val="FooterChar"/>
    <w:uiPriority w:val="99"/>
    <w:unhideWhenUsed/>
    <w:rsid w:val="004F5F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5FCD"/>
    <w:rPr>
      <w:rFonts w:eastAsiaTheme="minorEastAsia"/>
      <w:sz w:val="22"/>
      <w:szCs w:val="22"/>
      <w:lang w:val="en-US" w:eastAsia="zh-CN"/>
    </w:rPr>
  </w:style>
  <w:style w:type="paragraph" w:styleId="ListParagraph">
    <w:name w:val="List Paragraph"/>
    <w:basedOn w:val="Normal"/>
    <w:uiPriority w:val="34"/>
    <w:qFormat/>
    <w:rsid w:val="004F5FCD"/>
    <w:pPr>
      <w:ind w:left="720"/>
      <w:contextualSpacing/>
    </w:pPr>
  </w:style>
  <w:style w:type="character" w:customStyle="1" w:styleId="apple-converted-space">
    <w:name w:val="apple-converted-space"/>
    <w:basedOn w:val="DefaultParagraphFont"/>
    <w:rsid w:val="004F5FCD"/>
  </w:style>
  <w:style w:type="character" w:styleId="PageNumber">
    <w:name w:val="page number"/>
    <w:basedOn w:val="DefaultParagraphFont"/>
    <w:uiPriority w:val="99"/>
    <w:semiHidden/>
    <w:unhideWhenUsed/>
    <w:rsid w:val="004F5FCD"/>
  </w:style>
  <w:style w:type="character" w:styleId="Hyperlink">
    <w:name w:val="Hyperlink"/>
    <w:basedOn w:val="DefaultParagraphFont"/>
    <w:uiPriority w:val="99"/>
    <w:unhideWhenUsed/>
    <w:rsid w:val="004F5FCD"/>
    <w:rPr>
      <w:color w:val="0563C1" w:themeColor="hyperlink"/>
      <w:u w:val="single"/>
    </w:rPr>
  </w:style>
  <w:style w:type="table" w:styleId="TableGrid">
    <w:name w:val="Table Grid"/>
    <w:basedOn w:val="TableNormal"/>
    <w:uiPriority w:val="39"/>
    <w:rsid w:val="004F5FC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1E7"/>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styleId="UnresolvedMention">
    <w:name w:val="Unresolved Mention"/>
    <w:basedOn w:val="DefaultParagraphFont"/>
    <w:uiPriority w:val="99"/>
    <w:semiHidden/>
    <w:unhideWhenUsed/>
    <w:rsid w:val="00F2511D"/>
    <w:rPr>
      <w:color w:val="605E5C"/>
      <w:shd w:val="clear" w:color="auto" w:fill="E1DFDD"/>
    </w:rPr>
  </w:style>
  <w:style w:type="character" w:styleId="FollowedHyperlink">
    <w:name w:val="FollowedHyperlink"/>
    <w:basedOn w:val="DefaultParagraphFont"/>
    <w:uiPriority w:val="99"/>
    <w:semiHidden/>
    <w:unhideWhenUsed/>
    <w:rsid w:val="00F25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125">
      <w:bodyDiv w:val="1"/>
      <w:marLeft w:val="0"/>
      <w:marRight w:val="0"/>
      <w:marTop w:val="0"/>
      <w:marBottom w:val="0"/>
      <w:divBdr>
        <w:top w:val="none" w:sz="0" w:space="0" w:color="auto"/>
        <w:left w:val="none" w:sz="0" w:space="0" w:color="auto"/>
        <w:bottom w:val="none" w:sz="0" w:space="0" w:color="auto"/>
        <w:right w:val="none" w:sz="0" w:space="0" w:color="auto"/>
      </w:divBdr>
    </w:div>
    <w:div w:id="5493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WN_N0kJiUDLSre8atzFe0YLH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Cabras</dc:creator>
  <cp:keywords/>
  <dc:description/>
  <cp:lastModifiedBy>Stefano Cabras</cp:lastModifiedBy>
  <cp:revision>2</cp:revision>
  <cp:lastPrinted>2021-10-19T12:18:00Z</cp:lastPrinted>
  <dcterms:created xsi:type="dcterms:W3CDTF">2021-11-12T13:58:00Z</dcterms:created>
  <dcterms:modified xsi:type="dcterms:W3CDTF">2021-11-12T13:58:00Z</dcterms:modified>
</cp:coreProperties>
</file>