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1DD4" w14:textId="23204C50" w:rsidR="00A60627" w:rsidRPr="005B0F44" w:rsidRDefault="004703EE" w:rsidP="004E3720">
      <w:pPr>
        <w:tabs>
          <w:tab w:val="left" w:pos="860"/>
          <w:tab w:val="center" w:pos="4153"/>
        </w:tabs>
        <w:spacing w:line="276" w:lineRule="auto"/>
        <w:rPr>
          <w:b/>
          <w:color w:val="000000" w:themeColor="text1"/>
          <w:sz w:val="48"/>
          <w:szCs w:val="48"/>
        </w:rPr>
      </w:pPr>
      <w:r w:rsidRPr="008D2CF9">
        <w:rPr>
          <w:rFonts w:ascii="Calibri" w:eastAsia="Calibri" w:hAnsi="Calibri" w:cs="Calibri"/>
          <w:b/>
          <w:color w:val="000000" w:themeColor="text1"/>
          <w:sz w:val="48"/>
          <w:szCs w:val="48"/>
        </w:rPr>
        <w:tab/>
      </w:r>
      <w:r w:rsidRPr="008D2CF9">
        <w:rPr>
          <w:rFonts w:ascii="Calibri" w:eastAsia="Calibri" w:hAnsi="Calibri" w:cs="Calibri"/>
          <w:b/>
          <w:color w:val="000000" w:themeColor="text1"/>
          <w:sz w:val="48"/>
          <w:szCs w:val="48"/>
        </w:rPr>
        <w:tab/>
      </w:r>
      <w:r w:rsidR="00BE0D19" w:rsidRPr="005B0F44">
        <w:rPr>
          <w:b/>
          <w:color w:val="000000" w:themeColor="text1"/>
          <w:sz w:val="48"/>
          <w:szCs w:val="48"/>
        </w:rPr>
        <w:t>202</w:t>
      </w:r>
      <w:r w:rsidR="00FC4C18">
        <w:rPr>
          <w:b/>
          <w:color w:val="000000" w:themeColor="text1"/>
          <w:sz w:val="48"/>
          <w:szCs w:val="48"/>
        </w:rPr>
        <w:t>5</w:t>
      </w:r>
      <w:r w:rsidR="00493D7A" w:rsidRPr="005B0F44">
        <w:rPr>
          <w:b/>
          <w:color w:val="000000" w:themeColor="text1"/>
          <w:sz w:val="48"/>
          <w:szCs w:val="48"/>
        </w:rPr>
        <w:t xml:space="preserve"> </w:t>
      </w:r>
      <w:r w:rsidRPr="005B0F44">
        <w:rPr>
          <w:b/>
          <w:color w:val="000000" w:themeColor="text1"/>
          <w:sz w:val="48"/>
          <w:szCs w:val="48"/>
        </w:rPr>
        <w:t xml:space="preserve">State of the EU ETS </w:t>
      </w:r>
      <w:r w:rsidR="00493D7A" w:rsidRPr="005B0F44">
        <w:rPr>
          <w:b/>
          <w:color w:val="000000" w:themeColor="text1"/>
          <w:sz w:val="48"/>
          <w:szCs w:val="48"/>
        </w:rPr>
        <w:t>Report</w:t>
      </w:r>
    </w:p>
    <w:p w14:paraId="5BE9FE39" w14:textId="333D0A68" w:rsidR="008013E1" w:rsidRDefault="004F3EEC" w:rsidP="008013E1">
      <w:pPr>
        <w:tabs>
          <w:tab w:val="left" w:pos="860"/>
          <w:tab w:val="center" w:pos="4153"/>
        </w:tabs>
        <w:spacing w:line="276" w:lineRule="auto"/>
        <w:jc w:val="center"/>
        <w:rPr>
          <w:bCs/>
          <w:i/>
          <w:iCs/>
          <w:color w:val="000000" w:themeColor="text1"/>
          <w:sz w:val="36"/>
          <w:szCs w:val="36"/>
        </w:rPr>
      </w:pPr>
      <w:r>
        <w:rPr>
          <w:bCs/>
          <w:i/>
          <w:iCs/>
          <w:color w:val="000000" w:themeColor="text1"/>
          <w:sz w:val="36"/>
          <w:szCs w:val="36"/>
        </w:rPr>
        <w:t xml:space="preserve">Stakeholders </w:t>
      </w:r>
    </w:p>
    <w:p w14:paraId="2B3D8FF8" w14:textId="46308F70" w:rsidR="004F3EEC" w:rsidRPr="004E3720" w:rsidRDefault="004F3EEC" w:rsidP="008013E1">
      <w:pPr>
        <w:tabs>
          <w:tab w:val="left" w:pos="860"/>
          <w:tab w:val="center" w:pos="4153"/>
        </w:tabs>
        <w:spacing w:line="276" w:lineRule="auto"/>
        <w:jc w:val="center"/>
        <w:rPr>
          <w:bCs/>
          <w:i/>
          <w:iCs/>
          <w:color w:val="000000" w:themeColor="text1"/>
          <w:sz w:val="36"/>
          <w:szCs w:val="36"/>
        </w:rPr>
      </w:pPr>
      <w:r>
        <w:rPr>
          <w:bCs/>
          <w:i/>
          <w:iCs/>
          <w:color w:val="000000" w:themeColor="text1"/>
          <w:sz w:val="36"/>
          <w:szCs w:val="36"/>
        </w:rPr>
        <w:t>Presentation of PPT</w:t>
      </w:r>
    </w:p>
    <w:p w14:paraId="72AA2A77" w14:textId="46864A63" w:rsidR="00A60627" w:rsidRPr="005131C9" w:rsidRDefault="005131C9" w:rsidP="004E3720">
      <w:pPr>
        <w:jc w:val="center"/>
        <w:rPr>
          <w:b/>
          <w:color w:val="4472C4" w:themeColor="accent1"/>
          <w:sz w:val="32"/>
          <w:szCs w:val="32"/>
        </w:rPr>
      </w:pPr>
      <w:r w:rsidRPr="005131C9">
        <w:rPr>
          <w:b/>
          <w:color w:val="4472C4" w:themeColor="accent1"/>
          <w:sz w:val="32"/>
          <w:szCs w:val="32"/>
        </w:rPr>
        <w:t xml:space="preserve">Draft </w:t>
      </w:r>
      <w:r w:rsidR="004703EE" w:rsidRPr="008D2CF9">
        <w:rPr>
          <w:b/>
          <w:color w:val="000000" w:themeColor="text1"/>
          <w:sz w:val="32"/>
          <w:szCs w:val="32"/>
        </w:rPr>
        <w:t>Agenda</w:t>
      </w:r>
    </w:p>
    <w:p w14:paraId="6D29C7CA" w14:textId="77777777" w:rsidR="00E96514" w:rsidRDefault="00E96514" w:rsidP="00E96514">
      <w:pPr>
        <w:jc w:val="center"/>
        <w:rPr>
          <w:bCs/>
          <w:i/>
          <w:iCs/>
          <w:color w:val="000000" w:themeColor="text1"/>
        </w:rPr>
      </w:pPr>
    </w:p>
    <w:p w14:paraId="34B10969" w14:textId="76E26F04" w:rsidR="00E96514" w:rsidRPr="00E96514" w:rsidRDefault="00E96514" w:rsidP="00E96514">
      <w:pPr>
        <w:jc w:val="center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This meeting is under Chatham House Rules</w:t>
      </w:r>
    </w:p>
    <w:p w14:paraId="052C120B" w14:textId="334D7E19" w:rsidR="00A60627" w:rsidRPr="008D2CF9" w:rsidRDefault="004703EE" w:rsidP="004E3720">
      <w:pPr>
        <w:tabs>
          <w:tab w:val="center" w:pos="4153"/>
        </w:tabs>
        <w:spacing w:before="120" w:line="276" w:lineRule="auto"/>
        <w:rPr>
          <w:color w:val="000000" w:themeColor="text1"/>
        </w:rPr>
      </w:pPr>
      <w:r w:rsidRPr="008D2CF9">
        <w:rPr>
          <w:b/>
          <w:color w:val="000000" w:themeColor="text1"/>
        </w:rPr>
        <w:t>Date</w:t>
      </w:r>
      <w:r w:rsidR="00886999">
        <w:rPr>
          <w:color w:val="000000" w:themeColor="text1"/>
        </w:rPr>
        <w:t xml:space="preserve">: </w:t>
      </w:r>
      <w:r w:rsidR="007A1512">
        <w:rPr>
          <w:color w:val="000000" w:themeColor="text1"/>
        </w:rPr>
        <w:t>Wednesday</w:t>
      </w:r>
      <w:r w:rsidR="00162D53">
        <w:rPr>
          <w:color w:val="000000" w:themeColor="text1"/>
        </w:rPr>
        <w:t>,</w:t>
      </w:r>
      <w:r w:rsidR="00DC6FA1">
        <w:rPr>
          <w:color w:val="000000" w:themeColor="text1"/>
        </w:rPr>
        <w:t xml:space="preserve"> 1</w:t>
      </w:r>
      <w:r w:rsidR="007A1512">
        <w:rPr>
          <w:color w:val="000000" w:themeColor="text1"/>
        </w:rPr>
        <w:t>9</w:t>
      </w:r>
      <w:r w:rsidR="00147EAA">
        <w:rPr>
          <w:color w:val="000000" w:themeColor="text1"/>
        </w:rPr>
        <w:t xml:space="preserve"> March</w:t>
      </w:r>
      <w:r w:rsidR="00162D53">
        <w:rPr>
          <w:color w:val="000000" w:themeColor="text1"/>
        </w:rPr>
        <w:t>,</w:t>
      </w:r>
      <w:r w:rsidR="009175B1" w:rsidRPr="009175B1">
        <w:rPr>
          <w:color w:val="000000" w:themeColor="text1"/>
        </w:rPr>
        <w:t xml:space="preserve"> 202</w:t>
      </w:r>
      <w:r w:rsidR="00FC4C18">
        <w:rPr>
          <w:color w:val="000000" w:themeColor="text1"/>
        </w:rPr>
        <w:t>5</w:t>
      </w:r>
      <w:r w:rsidRPr="008D2CF9">
        <w:rPr>
          <w:color w:val="000000" w:themeColor="text1"/>
        </w:rPr>
        <w:tab/>
      </w:r>
    </w:p>
    <w:p w14:paraId="37862071" w14:textId="6B664CBE" w:rsidR="00CD1DBF" w:rsidRPr="008D2CF9" w:rsidRDefault="004703EE" w:rsidP="004E3720">
      <w:pPr>
        <w:spacing w:line="276" w:lineRule="auto"/>
        <w:rPr>
          <w:color w:val="000000" w:themeColor="text1"/>
        </w:rPr>
      </w:pPr>
      <w:r w:rsidRPr="008D2CF9">
        <w:rPr>
          <w:b/>
          <w:color w:val="000000" w:themeColor="text1"/>
        </w:rPr>
        <w:t>Time</w:t>
      </w:r>
      <w:r w:rsidR="00886999">
        <w:rPr>
          <w:color w:val="000000" w:themeColor="text1"/>
        </w:rPr>
        <w:t xml:space="preserve">: </w:t>
      </w:r>
      <w:r w:rsidR="009175B1" w:rsidRPr="009175B1">
        <w:rPr>
          <w:color w:val="000000" w:themeColor="text1"/>
        </w:rPr>
        <w:t>10:</w:t>
      </w:r>
      <w:r w:rsidR="0065335F">
        <w:rPr>
          <w:color w:val="000000" w:themeColor="text1"/>
        </w:rPr>
        <w:t>0</w:t>
      </w:r>
      <w:r w:rsidR="009175B1" w:rsidRPr="009175B1">
        <w:rPr>
          <w:color w:val="000000" w:themeColor="text1"/>
        </w:rPr>
        <w:t>0 – 12:</w:t>
      </w:r>
      <w:r w:rsidR="0065335F">
        <w:rPr>
          <w:color w:val="000000" w:themeColor="text1"/>
        </w:rPr>
        <w:t>0</w:t>
      </w:r>
      <w:r w:rsidR="009175B1" w:rsidRPr="009175B1">
        <w:rPr>
          <w:color w:val="000000" w:themeColor="text1"/>
        </w:rPr>
        <w:t>0 CET</w:t>
      </w:r>
    </w:p>
    <w:p w14:paraId="16F93358" w14:textId="77777777" w:rsidR="0067399F" w:rsidRDefault="004703EE" w:rsidP="0067399F">
      <w:pPr>
        <w:spacing w:line="276" w:lineRule="auto"/>
        <w:rPr>
          <w:color w:val="000000" w:themeColor="text1"/>
        </w:rPr>
      </w:pPr>
      <w:r w:rsidRPr="00CD1DBF">
        <w:rPr>
          <w:b/>
          <w:color w:val="000000" w:themeColor="text1"/>
        </w:rPr>
        <w:t>Venue</w:t>
      </w:r>
      <w:r w:rsidR="00886999" w:rsidRPr="00CD1DBF">
        <w:rPr>
          <w:color w:val="000000" w:themeColor="text1"/>
        </w:rPr>
        <w:t xml:space="preserve">: </w:t>
      </w:r>
      <w:r w:rsidR="0067399F" w:rsidRPr="007A30D2">
        <w:rPr>
          <w:color w:val="000000" w:themeColor="text1"/>
        </w:rPr>
        <w:t>Hybrid</w:t>
      </w:r>
      <w:r w:rsidR="0067399F">
        <w:rPr>
          <w:color w:val="000000" w:themeColor="text1"/>
        </w:rPr>
        <w:t>:</w:t>
      </w:r>
    </w:p>
    <w:p w14:paraId="713387D0" w14:textId="77777777" w:rsidR="0067399F" w:rsidRDefault="0067399F" w:rsidP="0067399F">
      <w:pPr>
        <w:pStyle w:val="ListParagraph"/>
        <w:numPr>
          <w:ilvl w:val="0"/>
          <w:numId w:val="13"/>
        </w:numPr>
        <w:spacing w:line="276" w:lineRule="auto"/>
        <w:rPr>
          <w:color w:val="000000" w:themeColor="text1"/>
        </w:rPr>
      </w:pPr>
      <w:r w:rsidRPr="007A30D2">
        <w:rPr>
          <w:color w:val="000000" w:themeColor="text1"/>
        </w:rPr>
        <w:t>Brussels based – in person - Rue Archimède 61, 1000 Brussels, Belgium.</w:t>
      </w:r>
    </w:p>
    <w:p w14:paraId="15C5FDC6" w14:textId="5A4DFBF9" w:rsidR="00A60627" w:rsidRPr="0067399F" w:rsidRDefault="0067399F" w:rsidP="004E3720">
      <w:pPr>
        <w:pStyle w:val="ListParagraph"/>
        <w:numPr>
          <w:ilvl w:val="0"/>
          <w:numId w:val="13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Outside Brussels – online.</w:t>
      </w:r>
    </w:p>
    <w:p w14:paraId="0025EE61" w14:textId="77777777" w:rsidR="00CD1DBF" w:rsidRPr="00CD1DBF" w:rsidRDefault="00CD1DBF" w:rsidP="00CD1DBF">
      <w:pPr>
        <w:spacing w:line="276" w:lineRule="auto"/>
        <w:rPr>
          <w:color w:val="000000" w:themeColor="text1"/>
        </w:rPr>
      </w:pPr>
    </w:p>
    <w:p w14:paraId="7ADD4AD4" w14:textId="6BD218B0" w:rsidR="009B550F" w:rsidRPr="00162D53" w:rsidRDefault="009175B1" w:rsidP="009B55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</w:pPr>
      <w:r w:rsidRPr="00162D53">
        <w:t>T</w:t>
      </w:r>
      <w:r w:rsidR="00CD1DBF" w:rsidRPr="00162D53">
        <w:t xml:space="preserve">his meeting is intended as a </w:t>
      </w:r>
      <w:r w:rsidRPr="00162D53">
        <w:rPr>
          <w:bCs/>
        </w:rPr>
        <w:t>brainstorming</w:t>
      </w:r>
      <w:r w:rsidR="00E91831" w:rsidRPr="00162D53">
        <w:rPr>
          <w:bCs/>
        </w:rPr>
        <w:t xml:space="preserve"> meeting</w:t>
      </w:r>
      <w:r w:rsidR="00CD1DBF" w:rsidRPr="00162D53">
        <w:rPr>
          <w:bCs/>
        </w:rPr>
        <w:t xml:space="preserve"> with </w:t>
      </w:r>
      <w:r w:rsidR="009B550F" w:rsidRPr="00162D53">
        <w:rPr>
          <w:bCs/>
        </w:rPr>
        <w:t>a small group of invited stakeholders and policy makers</w:t>
      </w:r>
      <w:r w:rsidR="00CD1DBF" w:rsidRPr="00162D53">
        <w:t xml:space="preserve">, which will brainstorm on the </w:t>
      </w:r>
      <w:r w:rsidR="00147EAA" w:rsidRPr="00162D53">
        <w:t xml:space="preserve">presentation </w:t>
      </w:r>
      <w:r w:rsidR="00CD1DBF" w:rsidRPr="00162D53">
        <w:t>of the 202</w:t>
      </w:r>
      <w:r w:rsidR="00FC4C18" w:rsidRPr="00162D53">
        <w:t>5</w:t>
      </w:r>
      <w:r w:rsidR="00CD1DBF" w:rsidRPr="00162D53">
        <w:t xml:space="preserve"> State of the EU ETS Report</w:t>
      </w:r>
      <w:r w:rsidR="00CD1DBF" w:rsidRPr="00162D53">
        <w:rPr>
          <w:rStyle w:val="FootnoteReference"/>
        </w:rPr>
        <w:footnoteReference w:id="1"/>
      </w:r>
      <w:r w:rsidRPr="00162D53">
        <w:t xml:space="preserve">, </w:t>
      </w:r>
      <w:r w:rsidR="007105DE" w:rsidRPr="00162D53">
        <w:t xml:space="preserve">to be released in </w:t>
      </w:r>
      <w:r w:rsidR="0067399F" w:rsidRPr="00162D53">
        <w:t>May</w:t>
      </w:r>
      <w:r w:rsidR="00CD1DBF" w:rsidRPr="00162D53">
        <w:t>.</w:t>
      </w:r>
      <w:r w:rsidR="009B550F" w:rsidRPr="00162D53">
        <w:t xml:space="preserve"> </w:t>
      </w:r>
    </w:p>
    <w:p w14:paraId="65A6D45A" w14:textId="0DC755E1" w:rsidR="004E3720" w:rsidRPr="00162D53" w:rsidRDefault="009B550F" w:rsidP="00B769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  <w:rPr>
          <w:b/>
          <w:bCs/>
        </w:rPr>
      </w:pPr>
      <w:r w:rsidRPr="00162D53">
        <w:t xml:space="preserve">This will be the </w:t>
      </w:r>
      <w:r w:rsidR="00071682" w:rsidRPr="00162D53">
        <w:t>tenth</w:t>
      </w:r>
      <w:r w:rsidRPr="00162D53">
        <w:t xml:space="preserve"> annual report on the State of the EU ETS and builds on the reports produced by this group of authors, and other partners, in the last years. The 202</w:t>
      </w:r>
      <w:r w:rsidR="00FC4C18" w:rsidRPr="00162D53">
        <w:t>4</w:t>
      </w:r>
      <w:r w:rsidRPr="00162D53">
        <w:t xml:space="preserve"> edition is available through this </w:t>
      </w:r>
      <w:hyperlink r:id="rId8" w:history="1">
        <w:r w:rsidRPr="00162D53">
          <w:rPr>
            <w:rStyle w:val="Hyperlink"/>
          </w:rPr>
          <w:t>link</w:t>
        </w:r>
      </w:hyperlink>
      <w:r w:rsidRPr="00162D53">
        <w:rPr>
          <w:b/>
          <w:bCs/>
        </w:rPr>
        <w:t>.</w:t>
      </w:r>
    </w:p>
    <w:p w14:paraId="6BEFF0C8" w14:textId="5A7DCCE0" w:rsidR="004F4A08" w:rsidRPr="00162D53" w:rsidRDefault="004F4A08" w:rsidP="004F4A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</w:pPr>
      <w:r w:rsidRPr="00162D53">
        <w:t xml:space="preserve">The topics/chapter presentations that will be discussed are: </w:t>
      </w:r>
    </w:p>
    <w:p w14:paraId="4D55BB4B" w14:textId="77777777" w:rsidR="004F4A08" w:rsidRPr="00162D53" w:rsidRDefault="004F4A08" w:rsidP="004F4A08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</w:pPr>
      <w:r w:rsidRPr="00162D53">
        <w:t>Regulatory developments (EU and international)</w:t>
      </w:r>
    </w:p>
    <w:p w14:paraId="0EDE4890" w14:textId="77777777" w:rsidR="004F4A08" w:rsidRPr="00162D53" w:rsidRDefault="004F4A08" w:rsidP="004F4A08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</w:pPr>
      <w:r w:rsidRPr="00162D53">
        <w:t>Environmental delivery</w:t>
      </w:r>
    </w:p>
    <w:p w14:paraId="00927FAD" w14:textId="77777777" w:rsidR="004F4A08" w:rsidRPr="00162D53" w:rsidRDefault="004F4A08" w:rsidP="004F4A08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</w:pPr>
      <w:r w:rsidRPr="00162D53">
        <w:t>Socio-Economic delivery</w:t>
      </w:r>
    </w:p>
    <w:p w14:paraId="5CC8BC48" w14:textId="77777777" w:rsidR="00E466EE" w:rsidRPr="00162D53" w:rsidRDefault="004F4A08" w:rsidP="00E466EE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</w:pPr>
      <w:r w:rsidRPr="00162D53">
        <w:t>Market functioning</w:t>
      </w:r>
      <w:r w:rsidR="00E466EE" w:rsidRPr="00162D53">
        <w:t xml:space="preserve"> </w:t>
      </w:r>
    </w:p>
    <w:p w14:paraId="0F38CEA4" w14:textId="121B571B" w:rsidR="004F4A08" w:rsidRPr="00162D53" w:rsidRDefault="00E466EE" w:rsidP="00E466EE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</w:pPr>
      <w:r w:rsidRPr="00162D53">
        <w:t>Market Sentiment</w:t>
      </w:r>
    </w:p>
    <w:p w14:paraId="3D0F8F4F" w14:textId="62A41996" w:rsidR="00953149" w:rsidRPr="00162D53" w:rsidRDefault="004F4A08" w:rsidP="004E37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  <w:rPr>
          <w:sz w:val="28"/>
          <w:szCs w:val="28"/>
        </w:rPr>
      </w:pPr>
      <w:r w:rsidRPr="00162D53">
        <w:t>For each topic, the authors will present the expected content</w:t>
      </w:r>
      <w:r w:rsidR="00953149" w:rsidRPr="00162D53">
        <w:t xml:space="preserve">, which will allow for </w:t>
      </w:r>
      <w:r w:rsidRPr="00162D53">
        <w:t>a</w:t>
      </w:r>
      <w:r w:rsidR="00953149" w:rsidRPr="00162D53">
        <w:t xml:space="preserve"> </w:t>
      </w:r>
      <w:r w:rsidR="00274569" w:rsidRPr="00162D53">
        <w:t>brainstorming</w:t>
      </w:r>
      <w:r w:rsidR="00953149" w:rsidRPr="00162D53">
        <w:t xml:space="preserve"> discussion with </w:t>
      </w:r>
      <w:r w:rsidR="00E466EE" w:rsidRPr="00162D53">
        <w:t>stakeholders</w:t>
      </w:r>
      <w:r w:rsidR="00953149" w:rsidRPr="00162D53">
        <w:t xml:space="preserve"> to address any gaps, or make any corrections needed</w:t>
      </w:r>
      <w:r w:rsidRPr="00162D53">
        <w:t xml:space="preserve">, ahead of the </w:t>
      </w:r>
      <w:r w:rsidR="00E466EE" w:rsidRPr="00162D53">
        <w:t xml:space="preserve">final presentation of the report in </w:t>
      </w:r>
      <w:r w:rsidR="0067399F" w:rsidRPr="00162D53">
        <w:t>May</w:t>
      </w:r>
      <w:r w:rsidR="00953149" w:rsidRPr="00162D53">
        <w:rPr>
          <w:sz w:val="28"/>
          <w:szCs w:val="28"/>
        </w:rPr>
        <w:t xml:space="preserve">. </w:t>
      </w:r>
    </w:p>
    <w:p w14:paraId="3FFCB386" w14:textId="2BB2E49D" w:rsidR="00081FE7" w:rsidRDefault="00081FE7" w:rsidP="00612815">
      <w:pPr>
        <w:tabs>
          <w:tab w:val="left" w:pos="2730"/>
        </w:tabs>
        <w:ind w:left="2160" w:hanging="2160"/>
        <w:jc w:val="both"/>
        <w:rPr>
          <w:b/>
          <w:color w:val="000000" w:themeColor="text1"/>
        </w:rPr>
      </w:pPr>
      <w:r w:rsidRPr="00162D53">
        <w:rPr>
          <w:b/>
          <w:bCs/>
          <w:color w:val="000000" w:themeColor="text1"/>
        </w:rPr>
        <w:t>10:</w:t>
      </w:r>
      <w:r w:rsidR="0065335F">
        <w:rPr>
          <w:b/>
          <w:bCs/>
          <w:color w:val="000000" w:themeColor="text1"/>
        </w:rPr>
        <w:t>0</w:t>
      </w:r>
      <w:r w:rsidRPr="00162D53">
        <w:rPr>
          <w:b/>
          <w:bCs/>
          <w:color w:val="000000" w:themeColor="text1"/>
        </w:rPr>
        <w:t>0</w:t>
      </w:r>
      <w:r>
        <w:rPr>
          <w:color w:val="000000" w:themeColor="text1"/>
        </w:rPr>
        <w:tab/>
      </w:r>
      <w:r w:rsidRPr="008D2CF9">
        <w:rPr>
          <w:b/>
          <w:color w:val="000000" w:themeColor="text1"/>
        </w:rPr>
        <w:t xml:space="preserve">Welcome </w:t>
      </w:r>
      <w:r w:rsidR="00CD232F">
        <w:rPr>
          <w:b/>
          <w:color w:val="000000" w:themeColor="text1"/>
        </w:rPr>
        <w:t>remarks</w:t>
      </w:r>
    </w:p>
    <w:p w14:paraId="6860976E" w14:textId="6E9875E0" w:rsidR="00162D53" w:rsidRDefault="00162D53" w:rsidP="00162D53">
      <w:pPr>
        <w:pStyle w:val="ListParagraph"/>
        <w:numPr>
          <w:ilvl w:val="0"/>
          <w:numId w:val="14"/>
        </w:numPr>
        <w:tabs>
          <w:tab w:val="left" w:pos="2160"/>
        </w:tabs>
        <w:spacing w:before="240" w:after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Andrei Marcu, ERCST</w:t>
      </w:r>
    </w:p>
    <w:p w14:paraId="2AA897C8" w14:textId="77777777" w:rsidR="00612815" w:rsidRPr="00612815" w:rsidRDefault="00612815" w:rsidP="00612815">
      <w:pPr>
        <w:tabs>
          <w:tab w:val="left" w:pos="2160"/>
        </w:tabs>
        <w:spacing w:before="240" w:after="120" w:line="360" w:lineRule="auto"/>
        <w:jc w:val="both"/>
        <w:rPr>
          <w:color w:val="000000" w:themeColor="text1"/>
        </w:rPr>
      </w:pPr>
    </w:p>
    <w:p w14:paraId="7EDE36EE" w14:textId="58B98637" w:rsidR="00CD232F" w:rsidRDefault="00081FE7" w:rsidP="00CD232F">
      <w:pPr>
        <w:ind w:left="2160" w:hanging="2160"/>
        <w:jc w:val="both"/>
        <w:rPr>
          <w:b/>
          <w:color w:val="000000" w:themeColor="text1"/>
        </w:rPr>
      </w:pPr>
      <w:r w:rsidRPr="00162D53">
        <w:rPr>
          <w:b/>
          <w:bCs/>
          <w:color w:val="000000" w:themeColor="text1"/>
        </w:rPr>
        <w:t>10:</w:t>
      </w:r>
      <w:r w:rsidR="0065335F">
        <w:rPr>
          <w:b/>
          <w:bCs/>
          <w:color w:val="000000" w:themeColor="text1"/>
        </w:rPr>
        <w:t>1</w:t>
      </w:r>
      <w:r w:rsidRPr="00162D53">
        <w:rPr>
          <w:b/>
          <w:bCs/>
          <w:color w:val="000000" w:themeColor="text1"/>
        </w:rPr>
        <w:t>0</w:t>
      </w:r>
      <w:r w:rsidRPr="008D2CF9">
        <w:rPr>
          <w:color w:val="000000" w:themeColor="text1"/>
        </w:rPr>
        <w:tab/>
      </w:r>
      <w:r>
        <w:rPr>
          <w:b/>
          <w:color w:val="000000" w:themeColor="text1"/>
        </w:rPr>
        <w:t xml:space="preserve">Presentation </w:t>
      </w:r>
      <w:r w:rsidR="00CD232F">
        <w:rPr>
          <w:b/>
          <w:color w:val="000000" w:themeColor="text1"/>
        </w:rPr>
        <w:t>of the</w:t>
      </w:r>
      <w:r>
        <w:rPr>
          <w:b/>
          <w:color w:val="000000" w:themeColor="text1"/>
        </w:rPr>
        <w:t xml:space="preserve"> </w:t>
      </w:r>
      <w:r w:rsidR="00162D53">
        <w:rPr>
          <w:b/>
          <w:color w:val="000000" w:themeColor="text1"/>
        </w:rPr>
        <w:t xml:space="preserve">draft </w:t>
      </w:r>
      <w:r w:rsidR="00E466EE">
        <w:rPr>
          <w:b/>
          <w:color w:val="000000" w:themeColor="text1"/>
        </w:rPr>
        <w:t>slides</w:t>
      </w:r>
      <w:r>
        <w:rPr>
          <w:b/>
          <w:color w:val="000000" w:themeColor="text1"/>
        </w:rPr>
        <w:t xml:space="preserve"> </w:t>
      </w:r>
    </w:p>
    <w:p w14:paraId="7D09BA0C" w14:textId="4A744434" w:rsidR="00162D53" w:rsidRDefault="00612815" w:rsidP="00612815">
      <w:pPr>
        <w:tabs>
          <w:tab w:val="left" w:pos="2730"/>
        </w:tabs>
        <w:ind w:left="2160" w:hanging="216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0B9A864A" w14:textId="54CD2358" w:rsidR="00CD232F" w:rsidRPr="00CD232F" w:rsidRDefault="00162D53" w:rsidP="00CD232F">
      <w:pPr>
        <w:pStyle w:val="ListParagraph"/>
        <w:numPr>
          <w:ilvl w:val="0"/>
          <w:numId w:val="14"/>
        </w:numPr>
        <w:jc w:val="both"/>
        <w:rPr>
          <w:bCs/>
          <w:color w:val="000000" w:themeColor="text1"/>
        </w:rPr>
      </w:pPr>
      <w:r w:rsidRPr="00162D53">
        <w:rPr>
          <w:bCs/>
          <w:color w:val="000000" w:themeColor="text1"/>
        </w:rPr>
        <w:t xml:space="preserve">State of the EU ETS Report </w:t>
      </w:r>
      <w:r w:rsidR="00207237">
        <w:rPr>
          <w:bCs/>
          <w:color w:val="000000" w:themeColor="text1"/>
        </w:rPr>
        <w:t>team</w:t>
      </w:r>
    </w:p>
    <w:p w14:paraId="30432581" w14:textId="77777777" w:rsidR="00CD232F" w:rsidRDefault="00CD232F" w:rsidP="00CD232F">
      <w:pPr>
        <w:jc w:val="both"/>
        <w:rPr>
          <w:bCs/>
          <w:color w:val="000000" w:themeColor="text1"/>
        </w:rPr>
      </w:pPr>
    </w:p>
    <w:p w14:paraId="77949CA5" w14:textId="3AC2A922" w:rsidR="00CD232F" w:rsidRDefault="00CD232F" w:rsidP="00CD232F">
      <w:pPr>
        <w:ind w:left="2160" w:hanging="2160"/>
        <w:jc w:val="both"/>
        <w:rPr>
          <w:b/>
          <w:color w:val="000000" w:themeColor="text1"/>
        </w:rPr>
      </w:pPr>
      <w:r w:rsidRPr="00162D53">
        <w:rPr>
          <w:b/>
          <w:bCs/>
          <w:color w:val="000000" w:themeColor="text1"/>
        </w:rPr>
        <w:t>1</w:t>
      </w:r>
      <w:r w:rsidR="0065335F">
        <w:rPr>
          <w:b/>
          <w:bCs/>
          <w:color w:val="000000" w:themeColor="text1"/>
        </w:rPr>
        <w:t>0</w:t>
      </w:r>
      <w:r w:rsidRPr="00162D53">
        <w:rPr>
          <w:b/>
          <w:bCs/>
          <w:color w:val="000000" w:themeColor="text1"/>
        </w:rPr>
        <w:t>:</w:t>
      </w:r>
      <w:r w:rsidR="0065335F">
        <w:rPr>
          <w:b/>
          <w:bCs/>
          <w:color w:val="000000" w:themeColor="text1"/>
        </w:rPr>
        <w:t>3</w:t>
      </w:r>
      <w:r w:rsidRPr="00162D53">
        <w:rPr>
          <w:b/>
          <w:bCs/>
          <w:color w:val="000000" w:themeColor="text1"/>
        </w:rPr>
        <w:t>0</w:t>
      </w:r>
      <w:r w:rsidRPr="008D2CF9">
        <w:rPr>
          <w:color w:val="000000" w:themeColor="text1"/>
        </w:rPr>
        <w:tab/>
      </w:r>
      <w:r>
        <w:rPr>
          <w:b/>
          <w:color w:val="000000" w:themeColor="text1"/>
        </w:rPr>
        <w:t xml:space="preserve">Feedback on the draft slides </w:t>
      </w:r>
    </w:p>
    <w:p w14:paraId="1681CB72" w14:textId="77777777" w:rsidR="00CD232F" w:rsidRDefault="00CD232F" w:rsidP="00CD232F">
      <w:pPr>
        <w:ind w:left="2160" w:hanging="2160"/>
        <w:jc w:val="both"/>
        <w:rPr>
          <w:b/>
          <w:color w:val="000000" w:themeColor="text1"/>
        </w:rPr>
      </w:pPr>
    </w:p>
    <w:p w14:paraId="53E56E18" w14:textId="371008B7" w:rsidR="00CD232F" w:rsidRDefault="00CD232F" w:rsidP="00CD232F">
      <w:pPr>
        <w:ind w:left="2160" w:hanging="2160"/>
        <w:jc w:val="both"/>
        <w:rPr>
          <w:b/>
          <w:color w:val="000000" w:themeColor="text1"/>
        </w:rPr>
      </w:pPr>
      <w:r w:rsidRPr="0020289B">
        <w:rPr>
          <w:noProof/>
        </w:rPr>
        <mc:AlternateContent>
          <mc:Choice Requires="wps">
            <w:drawing>
              <wp:inline distT="0" distB="0" distL="0" distR="0" wp14:anchorId="7D2B1404" wp14:editId="1A074981">
                <wp:extent cx="5274310" cy="457835"/>
                <wp:effectExtent l="0" t="0" r="21590" b="18415"/>
                <wp:docPr id="296422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D7A78" w14:textId="77777777" w:rsidR="00CD232F" w:rsidRDefault="00CD232F" w:rsidP="00CD232F">
                            <w:pPr>
                              <w:ind w:right="-89"/>
                              <w:jc w:val="both"/>
                            </w:pPr>
                            <w:r>
                              <w:t>ERCST will invite stakeholders to provide their views on the draft slides in a roundtable format.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2B1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5.3pt;height: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">
                <v:textbox style="mso-fit-shape-to-text:t">
                  <w:txbxContent>
                    <w:p w14:paraId="23BD7A78" w14:textId="77777777" w:rsidR="00CD232F" w:rsidRDefault="00CD232F" w:rsidP="00CD232F">
                      <w:pPr>
                        <w:ind w:right="-89"/>
                        <w:jc w:val="both"/>
                      </w:pPr>
                      <w:r>
                        <w:t>ERCST will invite stakeholders to provide their views on the draft slides in a roundtable format.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40CC67" w14:textId="77777777" w:rsidR="00CD232F" w:rsidRDefault="00CD232F" w:rsidP="00CD232F">
      <w:pPr>
        <w:jc w:val="both"/>
        <w:rPr>
          <w:bCs/>
          <w:color w:val="000000" w:themeColor="text1"/>
        </w:rPr>
      </w:pPr>
    </w:p>
    <w:p w14:paraId="43EA8C25" w14:textId="75272254" w:rsidR="00CD232F" w:rsidRPr="00CD232F" w:rsidRDefault="00CD232F" w:rsidP="00CD232F">
      <w:pPr>
        <w:pStyle w:val="ListParagraph"/>
        <w:numPr>
          <w:ilvl w:val="0"/>
          <w:numId w:val="14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Stakeholders</w:t>
      </w:r>
    </w:p>
    <w:p w14:paraId="14D9CCAF" w14:textId="77777777" w:rsidR="00081FE7" w:rsidRPr="00AF7723" w:rsidRDefault="00081FE7" w:rsidP="00FC4C18">
      <w:pPr>
        <w:ind w:left="1800" w:hanging="1800"/>
        <w:jc w:val="both"/>
        <w:rPr>
          <w:b/>
          <w:bCs/>
          <w:color w:val="000000" w:themeColor="text1"/>
          <w:sz w:val="20"/>
          <w:szCs w:val="20"/>
          <w:u w:val="single"/>
        </w:rPr>
      </w:pPr>
    </w:p>
    <w:p w14:paraId="028E0502" w14:textId="08DC1E9A" w:rsidR="00081FE7" w:rsidRPr="004E3720" w:rsidRDefault="00081FE7" w:rsidP="00FC4C18">
      <w:pPr>
        <w:jc w:val="both"/>
        <w:rPr>
          <w:b/>
          <w:bCs/>
          <w:color w:val="000000" w:themeColor="text1"/>
        </w:rPr>
      </w:pPr>
      <w:r w:rsidRPr="00162D53">
        <w:rPr>
          <w:b/>
          <w:bCs/>
          <w:color w:val="000000" w:themeColor="text1"/>
        </w:rPr>
        <w:t>12:</w:t>
      </w:r>
      <w:r w:rsidR="0065335F">
        <w:rPr>
          <w:b/>
          <w:bCs/>
          <w:color w:val="000000" w:themeColor="text1"/>
        </w:rPr>
        <w:t>0</w:t>
      </w:r>
      <w:r w:rsidRPr="00162D53">
        <w:rPr>
          <w:b/>
          <w:bCs/>
          <w:color w:val="000000" w:themeColor="text1"/>
        </w:rPr>
        <w:t>0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</w:r>
      <w:r w:rsidRPr="004E3720">
        <w:rPr>
          <w:b/>
          <w:bCs/>
        </w:rPr>
        <w:t xml:space="preserve">End of the meeting </w:t>
      </w:r>
      <w:r>
        <w:rPr>
          <w:b/>
          <w:color w:val="000000" w:themeColor="text1"/>
        </w:rPr>
        <w:t xml:space="preserve"> </w:t>
      </w:r>
    </w:p>
    <w:sectPr w:rsidR="00081FE7" w:rsidRPr="004E3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27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B5BD3" w14:textId="77777777" w:rsidR="00C472DD" w:rsidRDefault="00C472DD">
      <w:r>
        <w:separator/>
      </w:r>
    </w:p>
  </w:endnote>
  <w:endnote w:type="continuationSeparator" w:id="0">
    <w:p w14:paraId="43EBBD4C" w14:textId="77777777" w:rsidR="00C472DD" w:rsidRDefault="00C4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43C2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2479ED" w14:textId="77777777" w:rsidR="006939A7" w:rsidRDefault="006939A7" w:rsidP="006939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4005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7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866936" w14:textId="5AAAB2A3" w:rsidR="00A60627" w:rsidRPr="006939A7" w:rsidRDefault="00A60627" w:rsidP="006939A7">
    <w:pPr>
      <w:tabs>
        <w:tab w:val="center" w:pos="4680"/>
        <w:tab w:val="right" w:pos="9360"/>
      </w:tabs>
      <w:spacing w:after="720"/>
      <w:ind w:right="360"/>
      <w:rPr>
        <w:sz w:val="18"/>
        <w:szCs w:val="18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12372" w14:textId="77777777" w:rsidR="00A60627" w:rsidRDefault="004703EE">
    <w:pPr>
      <w:tabs>
        <w:tab w:val="center" w:pos="4680"/>
        <w:tab w:val="right" w:pos="9360"/>
      </w:tabs>
      <w:spacing w:after="720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rFonts w:ascii="Calibri" w:eastAsia="Calibri" w:hAnsi="Calibri" w:cs="Calibri"/>
        <w:noProof/>
        <w:sz w:val="18"/>
        <w:szCs w:val="18"/>
      </w:rPr>
      <w:drawing>
        <wp:inline distT="0" distB="0" distL="0" distR="0" wp14:anchorId="1FB23F4B" wp14:editId="1432D154">
          <wp:extent cx="50713" cy="50713"/>
          <wp:effectExtent l="0" t="0" r="0" b="0"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13" cy="50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82FE4" w14:textId="77777777" w:rsidR="00C472DD" w:rsidRDefault="00C472DD">
      <w:r>
        <w:separator/>
      </w:r>
    </w:p>
  </w:footnote>
  <w:footnote w:type="continuationSeparator" w:id="0">
    <w:p w14:paraId="69D5ECFA" w14:textId="77777777" w:rsidR="00C472DD" w:rsidRDefault="00C472DD">
      <w:r>
        <w:continuationSeparator/>
      </w:r>
    </w:p>
  </w:footnote>
  <w:footnote w:id="1">
    <w:p w14:paraId="0B3E56ED" w14:textId="07C06C3E" w:rsidR="00CD1DBF" w:rsidRPr="00CD1DBF" w:rsidRDefault="00CD1DBF" w:rsidP="00FC4C18">
      <w:pPr>
        <w:spacing w:line="276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CD1DBF">
        <w:rPr>
          <w:sz w:val="21"/>
          <w:szCs w:val="21"/>
        </w:rPr>
        <w:t>The 202</w:t>
      </w:r>
      <w:r w:rsidR="00FC4C18">
        <w:rPr>
          <w:sz w:val="21"/>
          <w:szCs w:val="21"/>
        </w:rPr>
        <w:t>5</w:t>
      </w:r>
      <w:r w:rsidR="004E3720">
        <w:rPr>
          <w:sz w:val="21"/>
          <w:szCs w:val="21"/>
        </w:rPr>
        <w:t xml:space="preserve"> </w:t>
      </w:r>
      <w:r w:rsidRPr="00CD1DBF">
        <w:rPr>
          <w:sz w:val="21"/>
          <w:szCs w:val="21"/>
        </w:rPr>
        <w:t xml:space="preserve">State of the EU ETS Report is a joint effort between </w:t>
      </w:r>
      <w:hyperlink r:id="rId1" w:history="1">
        <w:r w:rsidRPr="00CD1DBF">
          <w:rPr>
            <w:rStyle w:val="Hyperlink"/>
            <w:sz w:val="21"/>
            <w:szCs w:val="21"/>
          </w:rPr>
          <w:t>ERCST</w:t>
        </w:r>
      </w:hyperlink>
      <w:r w:rsidRPr="00CD1DBF">
        <w:rPr>
          <w:sz w:val="21"/>
          <w:szCs w:val="21"/>
        </w:rPr>
        <w:t xml:space="preserve">, </w:t>
      </w:r>
      <w:hyperlink r:id="rId2" w:history="1">
        <w:proofErr w:type="spellStart"/>
        <w:r w:rsidRPr="00CD1DBF">
          <w:rPr>
            <w:rStyle w:val="Hyperlink"/>
            <w:sz w:val="21"/>
            <w:szCs w:val="21"/>
          </w:rPr>
          <w:t>BloombergNEF</w:t>
        </w:r>
        <w:proofErr w:type="spellEnd"/>
      </w:hyperlink>
      <w:r w:rsidRPr="00CD1DBF">
        <w:rPr>
          <w:sz w:val="21"/>
          <w:szCs w:val="21"/>
        </w:rPr>
        <w:t xml:space="preserve">, </w:t>
      </w:r>
      <w:hyperlink r:id="rId3" w:history="1">
        <w:r w:rsidR="0067399F" w:rsidRPr="0067399F">
          <w:rPr>
            <w:rStyle w:val="Hyperlink"/>
            <w:sz w:val="21"/>
            <w:szCs w:val="21"/>
          </w:rPr>
          <w:t xml:space="preserve">Compass </w:t>
        </w:r>
        <w:proofErr w:type="spellStart"/>
        <w:r w:rsidR="0067399F" w:rsidRPr="0067399F">
          <w:rPr>
            <w:rStyle w:val="Hyperlink"/>
            <w:sz w:val="21"/>
            <w:szCs w:val="21"/>
          </w:rPr>
          <w:t>Lexecon</w:t>
        </w:r>
        <w:proofErr w:type="spellEnd"/>
      </w:hyperlink>
      <w:r w:rsidR="0067399F">
        <w:rPr>
          <w:sz w:val="21"/>
          <w:szCs w:val="21"/>
        </w:rPr>
        <w:t xml:space="preserve"> </w:t>
      </w:r>
      <w:r w:rsidR="00E416F7">
        <w:rPr>
          <w:sz w:val="21"/>
          <w:szCs w:val="21"/>
        </w:rPr>
        <w:t xml:space="preserve">and </w:t>
      </w:r>
      <w:hyperlink r:id="rId4" w:history="1">
        <w:r w:rsidRPr="00CD1DBF">
          <w:rPr>
            <w:rStyle w:val="Hyperlink"/>
            <w:sz w:val="21"/>
            <w:szCs w:val="21"/>
          </w:rPr>
          <w:t>the Wegener Centre for climate and global change at the University of Graz</w:t>
        </w:r>
      </w:hyperlink>
      <w:r w:rsidR="00953149">
        <w:rPr>
          <w:sz w:val="21"/>
          <w:szCs w:val="2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B7F5" w14:textId="77777777" w:rsidR="00A60627" w:rsidRDefault="00A60627">
    <w:pPr>
      <w:widowControl w:val="0"/>
      <w:spacing w:before="709" w:line="276" w:lineRule="auto"/>
      <w:rPr>
        <w:sz w:val="18"/>
        <w:szCs w:val="18"/>
      </w:rPr>
    </w:pPr>
  </w:p>
  <w:tbl>
    <w:tblPr>
      <w:tblStyle w:val="a"/>
      <w:tblW w:w="8522" w:type="dxa"/>
      <w:tblInd w:w="-1152" w:type="dxa"/>
      <w:tblBorders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52"/>
      <w:gridCol w:w="7370"/>
    </w:tblGrid>
    <w:tr w:rsidR="00A60627" w14:paraId="03F0516B" w14:textId="77777777">
      <w:tc>
        <w:tcPr>
          <w:tcW w:w="1152" w:type="dxa"/>
        </w:tcPr>
        <w:p w14:paraId="5DE11C53" w14:textId="77777777" w:rsidR="00A60627" w:rsidRDefault="004703EE">
          <w:pPr>
            <w:tabs>
              <w:tab w:val="center" w:pos="4680"/>
              <w:tab w:val="right" w:pos="9360"/>
            </w:tabs>
            <w:jc w:val="right"/>
            <w:rPr>
              <w:b/>
            </w:rPr>
          </w:pPr>
          <w:r>
            <w:fldChar w:fldCharType="begin"/>
          </w:r>
          <w:r>
            <w:instrText>PAGE</w:instrText>
          </w:r>
          <w:r>
            <w:fldChar w:fldCharType="end"/>
          </w:r>
        </w:p>
      </w:tc>
      <w:tc>
        <w:tcPr>
          <w:tcW w:w="7370" w:type="dxa"/>
        </w:tcPr>
        <w:p w14:paraId="200892B1" w14:textId="77777777" w:rsidR="00A60627" w:rsidRDefault="00A60627">
          <w:pPr>
            <w:tabs>
              <w:tab w:val="center" w:pos="4680"/>
              <w:tab w:val="right" w:pos="9360"/>
            </w:tabs>
          </w:pPr>
        </w:p>
      </w:tc>
    </w:tr>
  </w:tbl>
  <w:p w14:paraId="3570236E" w14:textId="77777777" w:rsidR="00A60627" w:rsidRDefault="00A60627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99EF" w14:textId="5FE7E9A6" w:rsidR="008013E1" w:rsidRDefault="008013E1" w:rsidP="006F16E3">
    <w:pPr>
      <w:pStyle w:val="Header"/>
      <w:rPr>
        <w:noProof/>
      </w:rPr>
    </w:pPr>
  </w:p>
  <w:p w14:paraId="6EB87667" w14:textId="438F2AF8" w:rsidR="006F16E3" w:rsidRPr="006F16E3" w:rsidRDefault="006F16E3" w:rsidP="006F16E3">
    <w:pPr>
      <w:pStyle w:val="Header"/>
    </w:pPr>
    <w:r>
      <w:rPr>
        <w:noProof/>
        <w:sz w:val="22"/>
        <w:szCs w:val="22"/>
        <w:lang w:val="en-US"/>
      </w:rPr>
      <w:drawing>
        <wp:anchor distT="0" distB="0" distL="114300" distR="114300" simplePos="0" relativeHeight="251663360" behindDoc="0" locked="0" layoutInCell="1" allowOverlap="1" wp14:anchorId="60DBCEED" wp14:editId="54EE7DFB">
          <wp:simplePos x="0" y="0"/>
          <wp:positionH relativeFrom="column">
            <wp:posOffset>-304800</wp:posOffset>
          </wp:positionH>
          <wp:positionV relativeFrom="paragraph">
            <wp:posOffset>161925</wp:posOffset>
          </wp:positionV>
          <wp:extent cx="1417320" cy="708660"/>
          <wp:effectExtent l="0" t="0" r="0" b="0"/>
          <wp:wrapNone/>
          <wp:docPr id="3274394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39450" name="Picture 1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C77BA6B" wp14:editId="208CCF04">
          <wp:simplePos x="0" y="0"/>
          <wp:positionH relativeFrom="column">
            <wp:posOffset>1115060</wp:posOffset>
          </wp:positionH>
          <wp:positionV relativeFrom="paragraph">
            <wp:posOffset>321945</wp:posOffset>
          </wp:positionV>
          <wp:extent cx="1722120" cy="247015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627">
      <w:rPr>
        <w:noProof/>
      </w:rPr>
      <w:drawing>
        <wp:anchor distT="0" distB="0" distL="114300" distR="114300" simplePos="0" relativeHeight="251661312" behindDoc="0" locked="0" layoutInCell="1" allowOverlap="1" wp14:anchorId="182C6E03" wp14:editId="6061BC97">
          <wp:simplePos x="0" y="0"/>
          <wp:positionH relativeFrom="column">
            <wp:posOffset>4582160</wp:posOffset>
          </wp:positionH>
          <wp:positionV relativeFrom="paragraph">
            <wp:posOffset>161925</wp:posOffset>
          </wp:positionV>
          <wp:extent cx="1188720" cy="754380"/>
          <wp:effectExtent l="0" t="0" r="0" b="7620"/>
          <wp:wrapNone/>
          <wp:docPr id="14" name="Picture 3" descr="A logo with a globe and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3" descr="A logo with a globe and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189B">
      <w:rPr>
        <w:noProof/>
      </w:rPr>
      <w:drawing>
        <wp:anchor distT="0" distB="0" distL="114300" distR="114300" simplePos="0" relativeHeight="251660288" behindDoc="0" locked="0" layoutInCell="1" allowOverlap="1" wp14:anchorId="68969044" wp14:editId="24991795">
          <wp:simplePos x="0" y="0"/>
          <wp:positionH relativeFrom="column">
            <wp:posOffset>2547620</wp:posOffset>
          </wp:positionH>
          <wp:positionV relativeFrom="paragraph">
            <wp:posOffset>161925</wp:posOffset>
          </wp:positionV>
          <wp:extent cx="2194252" cy="601980"/>
          <wp:effectExtent l="0" t="0" r="0" b="7620"/>
          <wp:wrapNone/>
          <wp:docPr id="4098" name="Picture 2" descr="Compass Lexecon">
            <a:extLst xmlns:a="http://schemas.openxmlformats.org/drawingml/2006/main">
              <a:ext uri="{FF2B5EF4-FFF2-40B4-BE49-F238E27FC236}">
                <a16:creationId xmlns:a16="http://schemas.microsoft.com/office/drawing/2014/main" id="{01A596CD-C59A-66C6-09E7-16014613C5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Compass Lexecon">
                    <a:extLst>
                      <a:ext uri="{FF2B5EF4-FFF2-40B4-BE49-F238E27FC236}">
                        <a16:creationId xmlns:a16="http://schemas.microsoft.com/office/drawing/2014/main" id="{01A596CD-C59A-66C6-09E7-16014613C5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252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15BB" w14:textId="77777777" w:rsidR="00A60627" w:rsidRDefault="004703EE">
    <w:pPr>
      <w:tabs>
        <w:tab w:val="center" w:pos="4680"/>
        <w:tab w:val="right" w:pos="9360"/>
      </w:tabs>
      <w:spacing w:before="709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DC03EA" wp14:editId="418ED5F0">
          <wp:simplePos x="0" y="0"/>
          <wp:positionH relativeFrom="margin">
            <wp:posOffset>-457199</wp:posOffset>
          </wp:positionH>
          <wp:positionV relativeFrom="paragraph">
            <wp:posOffset>7620</wp:posOffset>
          </wp:positionV>
          <wp:extent cx="1143000" cy="701675"/>
          <wp:effectExtent l="0" t="0" r="0" b="0"/>
          <wp:wrapSquare wrapText="bothSides" distT="0" distB="0" distL="114300" distR="11430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8FABC9" w14:textId="77777777" w:rsidR="00A60627" w:rsidRDefault="00A60627">
    <w:pPr>
      <w:tabs>
        <w:tab w:val="center" w:pos="4680"/>
        <w:tab w:val="right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911"/>
    <w:multiLevelType w:val="hybridMultilevel"/>
    <w:tmpl w:val="703A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2A3"/>
    <w:multiLevelType w:val="hybridMultilevel"/>
    <w:tmpl w:val="AC74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FE3"/>
    <w:multiLevelType w:val="multilevel"/>
    <w:tmpl w:val="F3D82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E57B03"/>
    <w:multiLevelType w:val="hybridMultilevel"/>
    <w:tmpl w:val="932471BA"/>
    <w:lvl w:ilvl="0" w:tplc="BF5601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BF744E"/>
    <w:multiLevelType w:val="hybridMultilevel"/>
    <w:tmpl w:val="79E4BB1E"/>
    <w:lvl w:ilvl="0" w:tplc="09C2AF0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8BE3D88"/>
    <w:multiLevelType w:val="hybridMultilevel"/>
    <w:tmpl w:val="8AEC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816E0"/>
    <w:multiLevelType w:val="multilevel"/>
    <w:tmpl w:val="9E62A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53537D"/>
    <w:multiLevelType w:val="multilevel"/>
    <w:tmpl w:val="73FAC9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065ACF"/>
    <w:multiLevelType w:val="hybridMultilevel"/>
    <w:tmpl w:val="FB44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46A77"/>
    <w:multiLevelType w:val="hybridMultilevel"/>
    <w:tmpl w:val="6A62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061C6"/>
    <w:multiLevelType w:val="hybridMultilevel"/>
    <w:tmpl w:val="0ABE548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9A25B76"/>
    <w:multiLevelType w:val="multilevel"/>
    <w:tmpl w:val="0B80A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7E6F8C"/>
    <w:multiLevelType w:val="hybridMultilevel"/>
    <w:tmpl w:val="21FAD39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BCE4771"/>
    <w:multiLevelType w:val="hybridMultilevel"/>
    <w:tmpl w:val="F002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395876">
    <w:abstractNumId w:val="11"/>
  </w:num>
  <w:num w:numId="2" w16cid:durableId="88428904">
    <w:abstractNumId w:val="2"/>
  </w:num>
  <w:num w:numId="3" w16cid:durableId="1123570589">
    <w:abstractNumId w:val="6"/>
  </w:num>
  <w:num w:numId="4" w16cid:durableId="1830166745">
    <w:abstractNumId w:val="7"/>
  </w:num>
  <w:num w:numId="5" w16cid:durableId="1375501574">
    <w:abstractNumId w:val="0"/>
  </w:num>
  <w:num w:numId="6" w16cid:durableId="760027166">
    <w:abstractNumId w:val="5"/>
  </w:num>
  <w:num w:numId="7" w16cid:durableId="761603251">
    <w:abstractNumId w:val="13"/>
  </w:num>
  <w:num w:numId="8" w16cid:durableId="1307929941">
    <w:abstractNumId w:val="3"/>
  </w:num>
  <w:num w:numId="9" w16cid:durableId="2065712538">
    <w:abstractNumId w:val="8"/>
  </w:num>
  <w:num w:numId="10" w16cid:durableId="1955670097">
    <w:abstractNumId w:val="12"/>
  </w:num>
  <w:num w:numId="11" w16cid:durableId="152913739">
    <w:abstractNumId w:val="4"/>
  </w:num>
  <w:num w:numId="12" w16cid:durableId="928587225">
    <w:abstractNumId w:val="9"/>
  </w:num>
  <w:num w:numId="13" w16cid:durableId="1675570565">
    <w:abstractNumId w:val="1"/>
  </w:num>
  <w:num w:numId="14" w16cid:durableId="15177652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27"/>
    <w:rsid w:val="000013E0"/>
    <w:rsid w:val="00001B57"/>
    <w:rsid w:val="00005B33"/>
    <w:rsid w:val="00012166"/>
    <w:rsid w:val="00021955"/>
    <w:rsid w:val="00045197"/>
    <w:rsid w:val="00071682"/>
    <w:rsid w:val="00081E84"/>
    <w:rsid w:val="00081FE7"/>
    <w:rsid w:val="00087A35"/>
    <w:rsid w:val="000B491D"/>
    <w:rsid w:val="000C39C2"/>
    <w:rsid w:val="000F1BA3"/>
    <w:rsid w:val="001007F7"/>
    <w:rsid w:val="00103E97"/>
    <w:rsid w:val="0010425E"/>
    <w:rsid w:val="0013018A"/>
    <w:rsid w:val="0013437D"/>
    <w:rsid w:val="00136774"/>
    <w:rsid w:val="00147EAA"/>
    <w:rsid w:val="00161CAD"/>
    <w:rsid w:val="00162D53"/>
    <w:rsid w:val="00194474"/>
    <w:rsid w:val="001B3E75"/>
    <w:rsid w:val="001D6F5E"/>
    <w:rsid w:val="001D7C17"/>
    <w:rsid w:val="001E731D"/>
    <w:rsid w:val="001F21F2"/>
    <w:rsid w:val="00207237"/>
    <w:rsid w:val="00236383"/>
    <w:rsid w:val="002445DA"/>
    <w:rsid w:val="0025762A"/>
    <w:rsid w:val="002637B1"/>
    <w:rsid w:val="00267BFD"/>
    <w:rsid w:val="00274569"/>
    <w:rsid w:val="00290783"/>
    <w:rsid w:val="00295252"/>
    <w:rsid w:val="00297FD8"/>
    <w:rsid w:val="002A2840"/>
    <w:rsid w:val="002C4D51"/>
    <w:rsid w:val="002E4748"/>
    <w:rsid w:val="002E664E"/>
    <w:rsid w:val="0034149E"/>
    <w:rsid w:val="00354F66"/>
    <w:rsid w:val="003604E3"/>
    <w:rsid w:val="00366BB9"/>
    <w:rsid w:val="0037235E"/>
    <w:rsid w:val="00394DF8"/>
    <w:rsid w:val="0039585C"/>
    <w:rsid w:val="003B6C38"/>
    <w:rsid w:val="003D4E49"/>
    <w:rsid w:val="003F444A"/>
    <w:rsid w:val="004273EE"/>
    <w:rsid w:val="00437BF3"/>
    <w:rsid w:val="004401AF"/>
    <w:rsid w:val="004459B1"/>
    <w:rsid w:val="004703EE"/>
    <w:rsid w:val="00483957"/>
    <w:rsid w:val="00493D7A"/>
    <w:rsid w:val="004A185B"/>
    <w:rsid w:val="004A6537"/>
    <w:rsid w:val="004E3720"/>
    <w:rsid w:val="004F3EEC"/>
    <w:rsid w:val="004F4A08"/>
    <w:rsid w:val="005131C9"/>
    <w:rsid w:val="005217D1"/>
    <w:rsid w:val="00555A57"/>
    <w:rsid w:val="005A7C5D"/>
    <w:rsid w:val="005B0F44"/>
    <w:rsid w:val="005C07D9"/>
    <w:rsid w:val="005C2B6D"/>
    <w:rsid w:val="005D06A4"/>
    <w:rsid w:val="005D230A"/>
    <w:rsid w:val="005E1D16"/>
    <w:rsid w:val="0060473D"/>
    <w:rsid w:val="00612815"/>
    <w:rsid w:val="00617168"/>
    <w:rsid w:val="0065335F"/>
    <w:rsid w:val="00661023"/>
    <w:rsid w:val="00670E11"/>
    <w:rsid w:val="0067399F"/>
    <w:rsid w:val="0067430B"/>
    <w:rsid w:val="00676944"/>
    <w:rsid w:val="0067707E"/>
    <w:rsid w:val="006939A7"/>
    <w:rsid w:val="006B4C2E"/>
    <w:rsid w:val="006C00B1"/>
    <w:rsid w:val="006C038C"/>
    <w:rsid w:val="006C7C9A"/>
    <w:rsid w:val="006F107F"/>
    <w:rsid w:val="006F16E3"/>
    <w:rsid w:val="006F7286"/>
    <w:rsid w:val="007105DE"/>
    <w:rsid w:val="00745375"/>
    <w:rsid w:val="00787690"/>
    <w:rsid w:val="007A1512"/>
    <w:rsid w:val="007A288F"/>
    <w:rsid w:val="007A2C1E"/>
    <w:rsid w:val="007C2C9F"/>
    <w:rsid w:val="007D3291"/>
    <w:rsid w:val="007F4B8B"/>
    <w:rsid w:val="008013E1"/>
    <w:rsid w:val="008058BA"/>
    <w:rsid w:val="008142AA"/>
    <w:rsid w:val="00872027"/>
    <w:rsid w:val="00873CBB"/>
    <w:rsid w:val="00886999"/>
    <w:rsid w:val="008A0071"/>
    <w:rsid w:val="008A7F0C"/>
    <w:rsid w:val="008C1240"/>
    <w:rsid w:val="008C193C"/>
    <w:rsid w:val="008C1E73"/>
    <w:rsid w:val="008C2E86"/>
    <w:rsid w:val="008D2CF9"/>
    <w:rsid w:val="008F41E7"/>
    <w:rsid w:val="008F4489"/>
    <w:rsid w:val="00903F45"/>
    <w:rsid w:val="009175B1"/>
    <w:rsid w:val="00921FB5"/>
    <w:rsid w:val="0094063E"/>
    <w:rsid w:val="00945B06"/>
    <w:rsid w:val="00953149"/>
    <w:rsid w:val="0095599A"/>
    <w:rsid w:val="00963C45"/>
    <w:rsid w:val="0097256E"/>
    <w:rsid w:val="00990161"/>
    <w:rsid w:val="009A5284"/>
    <w:rsid w:val="009B550F"/>
    <w:rsid w:val="009C10DB"/>
    <w:rsid w:val="009C1649"/>
    <w:rsid w:val="009E569A"/>
    <w:rsid w:val="009F612F"/>
    <w:rsid w:val="00A04F5F"/>
    <w:rsid w:val="00A11FF1"/>
    <w:rsid w:val="00A2094E"/>
    <w:rsid w:val="00A33458"/>
    <w:rsid w:val="00A44047"/>
    <w:rsid w:val="00A60627"/>
    <w:rsid w:val="00A8414F"/>
    <w:rsid w:val="00A94033"/>
    <w:rsid w:val="00AA1DA9"/>
    <w:rsid w:val="00AA3997"/>
    <w:rsid w:val="00AA4A07"/>
    <w:rsid w:val="00AA5B4A"/>
    <w:rsid w:val="00AD30E4"/>
    <w:rsid w:val="00AF6728"/>
    <w:rsid w:val="00AF7723"/>
    <w:rsid w:val="00B01775"/>
    <w:rsid w:val="00B078DE"/>
    <w:rsid w:val="00B17D3D"/>
    <w:rsid w:val="00B228F2"/>
    <w:rsid w:val="00B3418C"/>
    <w:rsid w:val="00B37402"/>
    <w:rsid w:val="00B43D82"/>
    <w:rsid w:val="00B72D34"/>
    <w:rsid w:val="00B769A6"/>
    <w:rsid w:val="00BE0D19"/>
    <w:rsid w:val="00C01C3A"/>
    <w:rsid w:val="00C129F8"/>
    <w:rsid w:val="00C42182"/>
    <w:rsid w:val="00C43020"/>
    <w:rsid w:val="00C46B47"/>
    <w:rsid w:val="00C472DD"/>
    <w:rsid w:val="00C54C79"/>
    <w:rsid w:val="00C62FED"/>
    <w:rsid w:val="00C752DD"/>
    <w:rsid w:val="00C76484"/>
    <w:rsid w:val="00CA2E22"/>
    <w:rsid w:val="00CB00BF"/>
    <w:rsid w:val="00CB4018"/>
    <w:rsid w:val="00CB63F8"/>
    <w:rsid w:val="00CC0899"/>
    <w:rsid w:val="00CD1DBF"/>
    <w:rsid w:val="00CD232F"/>
    <w:rsid w:val="00CD3FF0"/>
    <w:rsid w:val="00CE37BC"/>
    <w:rsid w:val="00CE4380"/>
    <w:rsid w:val="00CF44FC"/>
    <w:rsid w:val="00CF5FEF"/>
    <w:rsid w:val="00D0099F"/>
    <w:rsid w:val="00D12E79"/>
    <w:rsid w:val="00D13E82"/>
    <w:rsid w:val="00D214D8"/>
    <w:rsid w:val="00D267C6"/>
    <w:rsid w:val="00D46A80"/>
    <w:rsid w:val="00D96F91"/>
    <w:rsid w:val="00DA3586"/>
    <w:rsid w:val="00DA4996"/>
    <w:rsid w:val="00DA573F"/>
    <w:rsid w:val="00DB3026"/>
    <w:rsid w:val="00DC0EED"/>
    <w:rsid w:val="00DC6FA1"/>
    <w:rsid w:val="00DD6061"/>
    <w:rsid w:val="00DE3FD0"/>
    <w:rsid w:val="00DF5755"/>
    <w:rsid w:val="00E039AA"/>
    <w:rsid w:val="00E1590C"/>
    <w:rsid w:val="00E1744F"/>
    <w:rsid w:val="00E27C9B"/>
    <w:rsid w:val="00E37DD1"/>
    <w:rsid w:val="00E40A54"/>
    <w:rsid w:val="00E416F7"/>
    <w:rsid w:val="00E466EE"/>
    <w:rsid w:val="00E61F06"/>
    <w:rsid w:val="00E91831"/>
    <w:rsid w:val="00E96514"/>
    <w:rsid w:val="00EA2DC0"/>
    <w:rsid w:val="00EA4AEF"/>
    <w:rsid w:val="00EA69E7"/>
    <w:rsid w:val="00EA717E"/>
    <w:rsid w:val="00EB326D"/>
    <w:rsid w:val="00EC38EA"/>
    <w:rsid w:val="00ED5906"/>
    <w:rsid w:val="00EE77C8"/>
    <w:rsid w:val="00F10666"/>
    <w:rsid w:val="00F12CB0"/>
    <w:rsid w:val="00F32C4B"/>
    <w:rsid w:val="00F5024B"/>
    <w:rsid w:val="00F5616D"/>
    <w:rsid w:val="00F76F4E"/>
    <w:rsid w:val="00F92B35"/>
    <w:rsid w:val="00F93D3A"/>
    <w:rsid w:val="00F97577"/>
    <w:rsid w:val="00F978F2"/>
    <w:rsid w:val="00FA183E"/>
    <w:rsid w:val="00FC01E3"/>
    <w:rsid w:val="00FC4C18"/>
    <w:rsid w:val="00FC61A9"/>
    <w:rsid w:val="00FC715D"/>
    <w:rsid w:val="00FE28D1"/>
    <w:rsid w:val="00FE7969"/>
    <w:rsid w:val="00FF3780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5DAA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017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</w:style>
  <w:style w:type="paragraph" w:styleId="BalloonText">
    <w:name w:val="Balloon Text"/>
    <w:basedOn w:val="Normal"/>
    <w:link w:val="BalloonTextChar"/>
    <w:uiPriority w:val="99"/>
    <w:semiHidden/>
    <w:unhideWhenUsed/>
    <w:rsid w:val="001D6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5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52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5217D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5217D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521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939A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939A7"/>
  </w:style>
  <w:style w:type="paragraph" w:styleId="FootnoteText">
    <w:name w:val="footnote text"/>
    <w:basedOn w:val="Normal"/>
    <w:link w:val="FootnoteTextChar"/>
    <w:uiPriority w:val="99"/>
    <w:unhideWhenUsed/>
    <w:rsid w:val="00CD1DBF"/>
  </w:style>
  <w:style w:type="character" w:customStyle="1" w:styleId="FootnoteTextChar">
    <w:name w:val="Footnote Text Char"/>
    <w:basedOn w:val="DefaultParagraphFont"/>
    <w:link w:val="FootnoteText"/>
    <w:uiPriority w:val="99"/>
    <w:rsid w:val="00CD1DBF"/>
  </w:style>
  <w:style w:type="character" w:styleId="FootnoteReference">
    <w:name w:val="footnote reference"/>
    <w:basedOn w:val="DefaultParagraphFont"/>
    <w:uiPriority w:val="99"/>
    <w:unhideWhenUsed/>
    <w:rsid w:val="00CD1DBF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5131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F16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st.org/2024-state-of-the-eu-ets-repor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mpasslexecon.com/" TargetMode="External"/><Relationship Id="rId2" Type="http://schemas.openxmlformats.org/officeDocument/2006/relationships/hyperlink" Target="https://about.bnef.com/" TargetMode="External"/><Relationship Id="rId1" Type="http://schemas.openxmlformats.org/officeDocument/2006/relationships/hyperlink" Target="http://www.ercst.org/" TargetMode="External"/><Relationship Id="rId4" Type="http://schemas.openxmlformats.org/officeDocument/2006/relationships/hyperlink" Target="https://wegcenter.uni-graz.at/en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CDDD74-5800-1545-BD38-1C238B1B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</dc:creator>
  <cp:lastModifiedBy>Juan Lopez | ERCST</cp:lastModifiedBy>
  <cp:revision>29</cp:revision>
  <cp:lastPrinted>2022-10-31T17:01:00Z</cp:lastPrinted>
  <dcterms:created xsi:type="dcterms:W3CDTF">2023-02-08T10:29:00Z</dcterms:created>
  <dcterms:modified xsi:type="dcterms:W3CDTF">2025-01-16T16:19:00Z</dcterms:modified>
</cp:coreProperties>
</file>