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1DD4" w14:textId="401B0AC4" w:rsidR="00A60627" w:rsidRPr="00821711" w:rsidRDefault="00A36489" w:rsidP="00C15B38">
      <w:pPr>
        <w:tabs>
          <w:tab w:val="left" w:pos="860"/>
          <w:tab w:val="center" w:pos="4153"/>
        </w:tabs>
        <w:spacing w:line="276" w:lineRule="auto"/>
        <w:jc w:val="center"/>
        <w:rPr>
          <w:b/>
          <w:color w:val="000000" w:themeColor="text1"/>
          <w:sz w:val="48"/>
          <w:szCs w:val="48"/>
        </w:rPr>
      </w:pPr>
      <w:r>
        <w:rPr>
          <w:rFonts w:ascii="Calibri" w:eastAsia="Calibri" w:hAnsi="Calibri" w:cs="Calibri"/>
          <w:b/>
          <w:color w:val="000000" w:themeColor="text1"/>
          <w:sz w:val="48"/>
          <w:szCs w:val="48"/>
        </w:rPr>
        <w:t xml:space="preserve">European </w:t>
      </w:r>
      <w:r w:rsidR="00FD1012">
        <w:rPr>
          <w:rFonts w:ascii="Calibri" w:eastAsia="Calibri" w:hAnsi="Calibri" w:cs="Calibri"/>
          <w:b/>
          <w:color w:val="000000" w:themeColor="text1"/>
          <w:sz w:val="48"/>
          <w:szCs w:val="48"/>
        </w:rPr>
        <w:t>Carbon Bank</w:t>
      </w:r>
    </w:p>
    <w:p w14:paraId="6D29C7CA" w14:textId="3086C46D" w:rsidR="00E96514" w:rsidRPr="00BD4FD6" w:rsidRDefault="00BD4FD6" w:rsidP="00BD4FD6">
      <w:pPr>
        <w:tabs>
          <w:tab w:val="left" w:pos="860"/>
          <w:tab w:val="center" w:pos="4153"/>
        </w:tabs>
        <w:spacing w:line="276" w:lineRule="auto"/>
        <w:jc w:val="center"/>
        <w:rPr>
          <w:b/>
          <w:color w:val="000000" w:themeColor="text1"/>
          <w:sz w:val="32"/>
          <w:szCs w:val="32"/>
        </w:rPr>
      </w:pPr>
      <w:r>
        <w:rPr>
          <w:b/>
          <w:color w:val="000000" w:themeColor="text1"/>
          <w:sz w:val="32"/>
          <w:szCs w:val="32"/>
        </w:rPr>
        <w:t xml:space="preserve">Stakeholders </w:t>
      </w:r>
      <w:r w:rsidRPr="00BD4FD6">
        <w:rPr>
          <w:b/>
          <w:color w:val="000000" w:themeColor="text1"/>
          <w:sz w:val="32"/>
          <w:szCs w:val="32"/>
        </w:rPr>
        <w:t>Roundtable</w:t>
      </w:r>
      <w:r w:rsidR="00C46A71">
        <w:rPr>
          <w:b/>
          <w:color w:val="000000" w:themeColor="text1"/>
          <w:sz w:val="32"/>
          <w:szCs w:val="32"/>
        </w:rPr>
        <w:t xml:space="preserve"> </w:t>
      </w:r>
    </w:p>
    <w:p w14:paraId="4C68554B" w14:textId="573A31E1" w:rsidR="00BD4FD6" w:rsidRDefault="00E96514" w:rsidP="00BD4FD6">
      <w:pPr>
        <w:jc w:val="center"/>
        <w:rPr>
          <w:bCs/>
          <w:i/>
          <w:iCs/>
          <w:color w:val="000000" w:themeColor="text1"/>
        </w:rPr>
      </w:pPr>
      <w:r>
        <w:rPr>
          <w:bCs/>
          <w:i/>
          <w:iCs/>
          <w:color w:val="000000" w:themeColor="text1"/>
        </w:rPr>
        <w:t>This meeting is under Chatham House Rules</w:t>
      </w:r>
      <w:r w:rsidR="00BD4FD6">
        <w:rPr>
          <w:bCs/>
          <w:i/>
          <w:iCs/>
          <w:color w:val="000000" w:themeColor="text1"/>
        </w:rPr>
        <w:t xml:space="preserve">/ No press. </w:t>
      </w:r>
    </w:p>
    <w:p w14:paraId="1F1E8923" w14:textId="77777777" w:rsidR="00BD4FD6" w:rsidRDefault="00BD4FD6" w:rsidP="00BD4FD6">
      <w:pPr>
        <w:jc w:val="center"/>
        <w:rPr>
          <w:b/>
          <w:color w:val="000000" w:themeColor="text1"/>
          <w:sz w:val="32"/>
          <w:szCs w:val="32"/>
        </w:rPr>
      </w:pPr>
    </w:p>
    <w:p w14:paraId="4B8A46BC" w14:textId="66D6C91D" w:rsidR="00C15B38" w:rsidRPr="00BD4FD6" w:rsidRDefault="00BD4FD6" w:rsidP="00BD4FD6">
      <w:pPr>
        <w:jc w:val="center"/>
        <w:rPr>
          <w:b/>
          <w:color w:val="000000" w:themeColor="text1"/>
          <w:sz w:val="28"/>
          <w:szCs w:val="28"/>
        </w:rPr>
      </w:pPr>
      <w:r w:rsidRPr="00BD4FD6">
        <w:rPr>
          <w:b/>
          <w:color w:val="000000" w:themeColor="text1"/>
          <w:sz w:val="28"/>
          <w:szCs w:val="28"/>
        </w:rPr>
        <w:t>Agenda</w:t>
      </w:r>
    </w:p>
    <w:p w14:paraId="0E67DAEA" w14:textId="77777777" w:rsidR="00BD4FD6" w:rsidRPr="00C15B38" w:rsidRDefault="00BD4FD6" w:rsidP="00C15B38">
      <w:pPr>
        <w:jc w:val="center"/>
        <w:rPr>
          <w:bCs/>
          <w:color w:val="000000" w:themeColor="text1"/>
          <w:sz w:val="22"/>
          <w:szCs w:val="22"/>
        </w:rPr>
      </w:pPr>
    </w:p>
    <w:p w14:paraId="052C120B" w14:textId="48AEFFFA" w:rsidR="00A60627" w:rsidRPr="008D2CF9" w:rsidRDefault="004703EE" w:rsidP="004E3720">
      <w:pPr>
        <w:tabs>
          <w:tab w:val="center" w:pos="4153"/>
        </w:tabs>
        <w:spacing w:before="120" w:line="276" w:lineRule="auto"/>
        <w:rPr>
          <w:color w:val="000000" w:themeColor="text1"/>
        </w:rPr>
      </w:pPr>
      <w:r w:rsidRPr="008D2CF9">
        <w:rPr>
          <w:b/>
          <w:color w:val="000000" w:themeColor="text1"/>
        </w:rPr>
        <w:t>Date</w:t>
      </w:r>
      <w:r w:rsidR="00886999">
        <w:rPr>
          <w:color w:val="000000" w:themeColor="text1"/>
        </w:rPr>
        <w:t xml:space="preserve">: </w:t>
      </w:r>
      <w:r w:rsidR="00D91339">
        <w:rPr>
          <w:color w:val="000000" w:themeColor="text1"/>
        </w:rPr>
        <w:t>Monday 2</w:t>
      </w:r>
      <w:r w:rsidR="00D91339" w:rsidRPr="00D91339">
        <w:rPr>
          <w:color w:val="000000" w:themeColor="text1"/>
          <w:vertAlign w:val="superscript"/>
        </w:rPr>
        <w:t>nd</w:t>
      </w:r>
      <w:r w:rsidR="00D91339">
        <w:rPr>
          <w:color w:val="000000" w:themeColor="text1"/>
        </w:rPr>
        <w:t xml:space="preserve"> October</w:t>
      </w:r>
      <w:r w:rsidR="009175B1" w:rsidRPr="009175B1">
        <w:rPr>
          <w:color w:val="000000" w:themeColor="text1"/>
        </w:rPr>
        <w:t xml:space="preserve"> 2023</w:t>
      </w:r>
      <w:r w:rsidRPr="008D2CF9">
        <w:rPr>
          <w:color w:val="000000" w:themeColor="text1"/>
        </w:rPr>
        <w:tab/>
      </w:r>
    </w:p>
    <w:p w14:paraId="37862071" w14:textId="1CCF6892" w:rsidR="00CD1DBF" w:rsidRPr="00573D2C" w:rsidRDefault="004703EE" w:rsidP="004E3720">
      <w:pPr>
        <w:spacing w:line="276" w:lineRule="auto"/>
        <w:rPr>
          <w:color w:val="000000" w:themeColor="text1"/>
          <w:lang w:val="fr-BE"/>
        </w:rPr>
      </w:pPr>
      <w:proofErr w:type="gramStart"/>
      <w:r w:rsidRPr="00573D2C">
        <w:rPr>
          <w:b/>
          <w:color w:val="000000" w:themeColor="text1"/>
          <w:lang w:val="fr-BE"/>
        </w:rPr>
        <w:t>Time</w:t>
      </w:r>
      <w:r w:rsidR="00886999" w:rsidRPr="00573D2C">
        <w:rPr>
          <w:color w:val="000000" w:themeColor="text1"/>
          <w:lang w:val="fr-BE"/>
        </w:rPr>
        <w:t>:</w:t>
      </w:r>
      <w:proofErr w:type="gramEnd"/>
      <w:r w:rsidR="00886999" w:rsidRPr="00573D2C">
        <w:rPr>
          <w:color w:val="000000" w:themeColor="text1"/>
          <w:lang w:val="fr-BE"/>
        </w:rPr>
        <w:t xml:space="preserve"> </w:t>
      </w:r>
      <w:r w:rsidR="009175B1" w:rsidRPr="00573D2C">
        <w:rPr>
          <w:color w:val="000000" w:themeColor="text1"/>
          <w:lang w:val="fr-BE"/>
        </w:rPr>
        <w:t>1</w:t>
      </w:r>
      <w:r w:rsidR="00D91339" w:rsidRPr="00573D2C">
        <w:rPr>
          <w:color w:val="000000" w:themeColor="text1"/>
          <w:lang w:val="fr-BE"/>
        </w:rPr>
        <w:t>3</w:t>
      </w:r>
      <w:r w:rsidR="009175B1" w:rsidRPr="00573D2C">
        <w:rPr>
          <w:color w:val="000000" w:themeColor="text1"/>
          <w:lang w:val="fr-BE"/>
        </w:rPr>
        <w:t>:</w:t>
      </w:r>
      <w:r w:rsidR="00AB3641" w:rsidRPr="00573D2C">
        <w:rPr>
          <w:color w:val="000000" w:themeColor="text1"/>
          <w:lang w:val="fr-BE"/>
        </w:rPr>
        <w:t>0</w:t>
      </w:r>
      <w:r w:rsidR="009175B1" w:rsidRPr="00573D2C">
        <w:rPr>
          <w:color w:val="000000" w:themeColor="text1"/>
          <w:lang w:val="fr-BE"/>
        </w:rPr>
        <w:t>0 – 1</w:t>
      </w:r>
      <w:r w:rsidR="00D91339" w:rsidRPr="00573D2C">
        <w:rPr>
          <w:color w:val="000000" w:themeColor="text1"/>
          <w:lang w:val="fr-BE"/>
        </w:rPr>
        <w:t>4</w:t>
      </w:r>
      <w:r w:rsidR="009175B1" w:rsidRPr="00573D2C">
        <w:rPr>
          <w:color w:val="000000" w:themeColor="text1"/>
          <w:lang w:val="fr-BE"/>
        </w:rPr>
        <w:t>:</w:t>
      </w:r>
      <w:r w:rsidR="00D91339" w:rsidRPr="00573D2C">
        <w:rPr>
          <w:color w:val="000000" w:themeColor="text1"/>
          <w:lang w:val="fr-BE"/>
        </w:rPr>
        <w:t>3</w:t>
      </w:r>
      <w:r w:rsidR="00BD4FD6" w:rsidRPr="00573D2C">
        <w:rPr>
          <w:color w:val="000000" w:themeColor="text1"/>
          <w:lang w:val="fr-BE"/>
        </w:rPr>
        <w:t>0</w:t>
      </w:r>
      <w:r w:rsidR="009175B1" w:rsidRPr="00573D2C">
        <w:rPr>
          <w:color w:val="000000" w:themeColor="text1"/>
          <w:lang w:val="fr-BE"/>
        </w:rPr>
        <w:t xml:space="preserve"> CET</w:t>
      </w:r>
    </w:p>
    <w:p w14:paraId="15C5FDC6" w14:textId="6103A669" w:rsidR="00A60627" w:rsidRPr="00573D2C" w:rsidRDefault="004703EE" w:rsidP="004E3720">
      <w:pPr>
        <w:spacing w:line="276" w:lineRule="auto"/>
        <w:rPr>
          <w:color w:val="000000" w:themeColor="text1"/>
          <w:lang w:val="fr-BE"/>
        </w:rPr>
      </w:pPr>
      <w:proofErr w:type="gramStart"/>
      <w:r w:rsidRPr="00573D2C">
        <w:rPr>
          <w:b/>
          <w:color w:val="000000" w:themeColor="text1"/>
          <w:lang w:val="fr-BE"/>
        </w:rPr>
        <w:t>Venue</w:t>
      </w:r>
      <w:r w:rsidR="00886999" w:rsidRPr="00573D2C">
        <w:rPr>
          <w:color w:val="000000" w:themeColor="text1"/>
          <w:lang w:val="fr-BE"/>
        </w:rPr>
        <w:t>:</w:t>
      </w:r>
      <w:proofErr w:type="gramEnd"/>
      <w:r w:rsidR="00886999" w:rsidRPr="00573D2C">
        <w:rPr>
          <w:color w:val="000000" w:themeColor="text1"/>
          <w:lang w:val="fr-BE"/>
        </w:rPr>
        <w:t xml:space="preserve"> </w:t>
      </w:r>
      <w:r w:rsidR="00073EFB" w:rsidRPr="00573D2C">
        <w:rPr>
          <w:color w:val="000000" w:themeColor="text1"/>
          <w:lang w:val="fr-BE"/>
        </w:rPr>
        <w:t>Online (Zoom)</w:t>
      </w:r>
    </w:p>
    <w:p w14:paraId="0025EE61" w14:textId="77777777" w:rsidR="00CD1DBF" w:rsidRPr="00573D2C" w:rsidRDefault="00CD1DBF" w:rsidP="00CD1DBF">
      <w:pPr>
        <w:spacing w:line="276" w:lineRule="auto"/>
        <w:rPr>
          <w:color w:val="000000" w:themeColor="text1"/>
          <w:lang w:val="fr-BE"/>
        </w:rPr>
      </w:pPr>
    </w:p>
    <w:p w14:paraId="70E83C53" w14:textId="2A61B151" w:rsidR="00A36489" w:rsidRDefault="00A36489" w:rsidP="00821711">
      <w:pPr>
        <w:pBdr>
          <w:top w:val="single" w:sz="4" w:space="1" w:color="auto"/>
          <w:left w:val="single" w:sz="4" w:space="1" w:color="auto"/>
          <w:bottom w:val="single" w:sz="4" w:space="1" w:color="auto"/>
          <w:right w:val="single" w:sz="4" w:space="1" w:color="auto"/>
        </w:pBdr>
        <w:spacing w:after="160" w:line="276" w:lineRule="auto"/>
        <w:jc w:val="both"/>
        <w:rPr>
          <w:sz w:val="22"/>
          <w:szCs w:val="22"/>
        </w:rPr>
      </w:pPr>
      <w:r w:rsidRPr="00A36489">
        <w:rPr>
          <w:sz w:val="22"/>
          <w:szCs w:val="22"/>
        </w:rPr>
        <w:t xml:space="preserve">The European Climate Law set the objective of cutting GHGs by at least 55% by 2030 compared to 1990 levels, and to become Net Zero by 2050. It also asks the European Commission to come with an EU Climate Target by 2040. </w:t>
      </w:r>
      <w:r w:rsidR="00755F20">
        <w:rPr>
          <w:sz w:val="22"/>
          <w:szCs w:val="22"/>
        </w:rPr>
        <w:t>A</w:t>
      </w:r>
      <w:r w:rsidRPr="00A36489">
        <w:rPr>
          <w:sz w:val="22"/>
          <w:szCs w:val="22"/>
        </w:rPr>
        <w:t xml:space="preserve"> communication</w:t>
      </w:r>
      <w:r w:rsidR="00755F20">
        <w:rPr>
          <w:sz w:val="22"/>
          <w:szCs w:val="22"/>
        </w:rPr>
        <w:t xml:space="preserve"> </w:t>
      </w:r>
      <w:r w:rsidRPr="00A36489">
        <w:rPr>
          <w:sz w:val="22"/>
          <w:szCs w:val="22"/>
        </w:rPr>
        <w:t>accompanied by an impact assessment, will be published in 2024. The consultation addresse</w:t>
      </w:r>
      <w:r w:rsidR="00073EFB">
        <w:rPr>
          <w:sz w:val="22"/>
          <w:szCs w:val="22"/>
        </w:rPr>
        <w:t>d</w:t>
      </w:r>
      <w:r w:rsidRPr="00A36489">
        <w:rPr>
          <w:sz w:val="22"/>
          <w:szCs w:val="22"/>
        </w:rPr>
        <w:t xml:space="preserve"> key questions on carbon removals, as necessary to become “fit for 55” and net zero by 2050.</w:t>
      </w:r>
    </w:p>
    <w:p w14:paraId="3EDD804E" w14:textId="35AD8312" w:rsidR="00A36489" w:rsidRDefault="002A5E74" w:rsidP="00821711">
      <w:pPr>
        <w:pBdr>
          <w:top w:val="single" w:sz="4" w:space="1" w:color="auto"/>
          <w:left w:val="single" w:sz="4" w:space="1" w:color="auto"/>
          <w:bottom w:val="single" w:sz="4" w:space="1" w:color="auto"/>
          <w:right w:val="single" w:sz="4" w:space="1" w:color="auto"/>
        </w:pBdr>
        <w:spacing w:after="160" w:line="276" w:lineRule="auto"/>
        <w:jc w:val="both"/>
        <w:rPr>
          <w:sz w:val="22"/>
          <w:szCs w:val="22"/>
        </w:rPr>
      </w:pPr>
      <w:r>
        <w:rPr>
          <w:sz w:val="22"/>
          <w:szCs w:val="22"/>
        </w:rPr>
        <w:t>Under the current EU ETS design, b</w:t>
      </w:r>
      <w:r w:rsidR="00A36489">
        <w:rPr>
          <w:sz w:val="22"/>
          <w:szCs w:val="22"/>
        </w:rPr>
        <w:t xml:space="preserve">y 2039 the EU ETS </w:t>
      </w:r>
      <w:r w:rsidR="0081414A">
        <w:rPr>
          <w:sz w:val="22"/>
          <w:szCs w:val="22"/>
        </w:rPr>
        <w:t>is</w:t>
      </w:r>
      <w:r w:rsidR="00A36489">
        <w:rPr>
          <w:sz w:val="22"/>
          <w:szCs w:val="22"/>
        </w:rPr>
        <w:t xml:space="preserve"> expected to sell its last emissions permits under the EU ETS. The remaining residual emissions will have to be compensated by carbon removals while no designed structure is envisaged in the current EU policy architecture. </w:t>
      </w:r>
      <w:r w:rsidR="00155C11">
        <w:rPr>
          <w:sz w:val="22"/>
          <w:szCs w:val="22"/>
        </w:rPr>
        <w:t>Within this framework, s</w:t>
      </w:r>
      <w:r w:rsidR="0081414A">
        <w:rPr>
          <w:sz w:val="22"/>
          <w:szCs w:val="22"/>
        </w:rPr>
        <w:t>ome are</w:t>
      </w:r>
      <w:r w:rsidR="00A36489">
        <w:rPr>
          <w:sz w:val="22"/>
          <w:szCs w:val="22"/>
        </w:rPr>
        <w:t xml:space="preserve"> advocating for the creation of a European C</w:t>
      </w:r>
      <w:r w:rsidR="00155C11">
        <w:rPr>
          <w:sz w:val="22"/>
          <w:szCs w:val="22"/>
        </w:rPr>
        <w:t>arbon</w:t>
      </w:r>
      <w:r w:rsidR="00A36489">
        <w:rPr>
          <w:sz w:val="22"/>
          <w:szCs w:val="22"/>
        </w:rPr>
        <w:t xml:space="preserve"> Bank, an Innovation Authority, and</w:t>
      </w:r>
      <w:r w:rsidR="00155C11">
        <w:rPr>
          <w:sz w:val="22"/>
          <w:szCs w:val="22"/>
        </w:rPr>
        <w:t xml:space="preserve"> a</w:t>
      </w:r>
      <w:r w:rsidR="00A36489">
        <w:rPr>
          <w:sz w:val="22"/>
          <w:szCs w:val="22"/>
        </w:rPr>
        <w:t xml:space="preserve"> Carbon Removal Certification Authority as new institutional</w:t>
      </w:r>
      <w:r w:rsidR="0081414A">
        <w:rPr>
          <w:sz w:val="22"/>
          <w:szCs w:val="22"/>
        </w:rPr>
        <w:t xml:space="preserve"> </w:t>
      </w:r>
      <w:r w:rsidR="00A36489">
        <w:rPr>
          <w:sz w:val="22"/>
          <w:szCs w:val="22"/>
        </w:rPr>
        <w:t>players</w:t>
      </w:r>
      <w:r w:rsidR="00D747F1">
        <w:rPr>
          <w:rStyle w:val="FootnoteReference"/>
          <w:sz w:val="22"/>
          <w:szCs w:val="22"/>
        </w:rPr>
        <w:footnoteReference w:id="1"/>
      </w:r>
      <w:r w:rsidR="00A36489">
        <w:rPr>
          <w:sz w:val="22"/>
          <w:szCs w:val="22"/>
        </w:rPr>
        <w:t xml:space="preserve">. </w:t>
      </w:r>
    </w:p>
    <w:p w14:paraId="1CCF305B" w14:textId="2716E8FC" w:rsidR="00155C11" w:rsidRDefault="00155C11" w:rsidP="00821711">
      <w:pPr>
        <w:pBdr>
          <w:top w:val="single" w:sz="4" w:space="1" w:color="auto"/>
          <w:left w:val="single" w:sz="4" w:space="1" w:color="auto"/>
          <w:bottom w:val="single" w:sz="4" w:space="1" w:color="auto"/>
          <w:right w:val="single" w:sz="4" w:space="1" w:color="auto"/>
        </w:pBdr>
        <w:spacing w:after="160" w:line="276" w:lineRule="auto"/>
        <w:jc w:val="both"/>
        <w:rPr>
          <w:sz w:val="22"/>
          <w:szCs w:val="22"/>
        </w:rPr>
      </w:pPr>
      <w:r w:rsidRPr="00155C11">
        <w:rPr>
          <w:sz w:val="22"/>
          <w:szCs w:val="22"/>
        </w:rPr>
        <w:t>The establishment of a European Carbon Bank is seen as a potential tool to optimise the functioning of carbon markets, promote emissions reductions, and facilitate the global transition to a low-carbon future. A proactively supervising institution can enhance the efficiency of carbon markets by</w:t>
      </w:r>
      <w:r w:rsidR="00F05674">
        <w:rPr>
          <w:sz w:val="22"/>
          <w:szCs w:val="22"/>
        </w:rPr>
        <w:t xml:space="preserve"> managing liquidity in the carbon market.</w:t>
      </w:r>
      <w:r w:rsidRPr="00155C11">
        <w:rPr>
          <w:sz w:val="22"/>
          <w:szCs w:val="22"/>
        </w:rPr>
        <w:t xml:space="preserve"> </w:t>
      </w:r>
      <w:r w:rsidR="00F05674">
        <w:rPr>
          <w:sz w:val="22"/>
          <w:szCs w:val="22"/>
        </w:rPr>
        <w:t>This</w:t>
      </w:r>
      <w:r w:rsidRPr="00155C11">
        <w:rPr>
          <w:sz w:val="22"/>
          <w:szCs w:val="22"/>
        </w:rPr>
        <w:t xml:space="preserve"> is especially cogent </w:t>
      </w:r>
      <w:proofErr w:type="gramStart"/>
      <w:r w:rsidRPr="00155C11">
        <w:rPr>
          <w:sz w:val="22"/>
          <w:szCs w:val="22"/>
        </w:rPr>
        <w:t>in light of</w:t>
      </w:r>
      <w:proofErr w:type="gramEnd"/>
      <w:r w:rsidRPr="00155C11">
        <w:rPr>
          <w:sz w:val="22"/>
          <w:szCs w:val="22"/>
        </w:rPr>
        <w:t xml:space="preserve"> the foreseen supply stringency in the ETS 1 by the end of the next decade.</w:t>
      </w:r>
    </w:p>
    <w:p w14:paraId="0480724C" w14:textId="45C6B4CC" w:rsidR="00821711" w:rsidRPr="00A63F45" w:rsidRDefault="00821711" w:rsidP="00821711">
      <w:pPr>
        <w:pBdr>
          <w:top w:val="single" w:sz="4" w:space="1" w:color="auto"/>
          <w:left w:val="single" w:sz="4" w:space="1" w:color="auto"/>
          <w:bottom w:val="single" w:sz="4" w:space="1" w:color="auto"/>
          <w:right w:val="single" w:sz="4" w:space="1" w:color="auto"/>
        </w:pBdr>
        <w:spacing w:after="160" w:line="276" w:lineRule="auto"/>
        <w:jc w:val="both"/>
        <w:rPr>
          <w:bCs/>
          <w:sz w:val="22"/>
          <w:szCs w:val="22"/>
        </w:rPr>
      </w:pPr>
      <w:r>
        <w:rPr>
          <w:sz w:val="22"/>
          <w:szCs w:val="22"/>
        </w:rPr>
        <w:t>T</w:t>
      </w:r>
      <w:r w:rsidRPr="004E3720">
        <w:rPr>
          <w:sz w:val="22"/>
          <w:szCs w:val="22"/>
        </w:rPr>
        <w:t xml:space="preserve">his meeting is intended as a </w:t>
      </w:r>
      <w:r w:rsidRPr="00147EAA">
        <w:rPr>
          <w:bCs/>
          <w:sz w:val="22"/>
          <w:szCs w:val="22"/>
        </w:rPr>
        <w:t xml:space="preserve">brainstorming </w:t>
      </w:r>
      <w:r>
        <w:rPr>
          <w:bCs/>
          <w:sz w:val="22"/>
          <w:szCs w:val="22"/>
        </w:rPr>
        <w:t xml:space="preserve">roundtable </w:t>
      </w:r>
      <w:bookmarkStart w:id="0" w:name="_Hlk138688602"/>
      <w:r w:rsidRPr="00147EAA">
        <w:rPr>
          <w:bCs/>
          <w:sz w:val="22"/>
          <w:szCs w:val="22"/>
        </w:rPr>
        <w:t xml:space="preserve">with </w:t>
      </w:r>
      <w:r w:rsidRPr="009B550F">
        <w:rPr>
          <w:bCs/>
          <w:sz w:val="22"/>
          <w:szCs w:val="22"/>
        </w:rPr>
        <w:t>a small group of invited stakeholders and policy makers</w:t>
      </w:r>
      <w:r>
        <w:rPr>
          <w:sz w:val="22"/>
          <w:szCs w:val="22"/>
        </w:rPr>
        <w:t xml:space="preserve"> to</w:t>
      </w:r>
      <w:r w:rsidRPr="004E3720">
        <w:rPr>
          <w:sz w:val="22"/>
          <w:szCs w:val="22"/>
        </w:rPr>
        <w:t xml:space="preserve"> brainstorm on the </w:t>
      </w:r>
      <w:r w:rsidR="00A36489">
        <w:rPr>
          <w:sz w:val="22"/>
          <w:szCs w:val="22"/>
        </w:rPr>
        <w:t xml:space="preserve">potential </w:t>
      </w:r>
      <w:r w:rsidR="00155C11">
        <w:rPr>
          <w:sz w:val="22"/>
          <w:szCs w:val="22"/>
        </w:rPr>
        <w:t xml:space="preserve">aim </w:t>
      </w:r>
      <w:r w:rsidR="00155C11" w:rsidRPr="00A63F45">
        <w:rPr>
          <w:bCs/>
          <w:sz w:val="22"/>
          <w:szCs w:val="22"/>
        </w:rPr>
        <w:t xml:space="preserve">and governance of a Carbon Bank in the EU, as well as its practical shape and implications </w:t>
      </w:r>
      <w:r w:rsidR="00A36489" w:rsidRPr="00A63F45">
        <w:rPr>
          <w:bCs/>
          <w:sz w:val="22"/>
          <w:szCs w:val="22"/>
        </w:rPr>
        <w:t>on the current EU Climate architecture</w:t>
      </w:r>
      <w:r w:rsidRPr="00A63F45">
        <w:rPr>
          <w:bCs/>
          <w:sz w:val="22"/>
          <w:szCs w:val="22"/>
        </w:rPr>
        <w:t>.</w:t>
      </w:r>
      <w:bookmarkEnd w:id="0"/>
      <w:r w:rsidRPr="00A63F45">
        <w:rPr>
          <w:bCs/>
          <w:sz w:val="22"/>
          <w:szCs w:val="22"/>
        </w:rPr>
        <w:t xml:space="preserve"> </w:t>
      </w:r>
    </w:p>
    <w:p w14:paraId="0FF594D2" w14:textId="77777777" w:rsidR="00C44B81" w:rsidRDefault="00C44B81" w:rsidP="00D747F1">
      <w:pPr>
        <w:jc w:val="both"/>
        <w:textAlignment w:val="baseline"/>
        <w:rPr>
          <w:rFonts w:eastAsia="Times New Roman" w:cs="Tahoma"/>
          <w:bCs/>
          <w:color w:val="000000" w:themeColor="text1"/>
          <w:szCs w:val="20"/>
        </w:rPr>
      </w:pPr>
    </w:p>
    <w:p w14:paraId="2ED4FDE2" w14:textId="77777777" w:rsidR="00F05674" w:rsidRDefault="00F05674" w:rsidP="00D747F1">
      <w:pPr>
        <w:jc w:val="both"/>
        <w:textAlignment w:val="baseline"/>
        <w:rPr>
          <w:rFonts w:eastAsia="Times New Roman" w:cs="Tahoma"/>
          <w:bCs/>
          <w:color w:val="000000" w:themeColor="text1"/>
          <w:szCs w:val="20"/>
        </w:rPr>
      </w:pPr>
    </w:p>
    <w:p w14:paraId="30E9D423" w14:textId="77777777" w:rsidR="00F05674" w:rsidRDefault="00F05674" w:rsidP="00D747F1">
      <w:pPr>
        <w:jc w:val="both"/>
        <w:textAlignment w:val="baseline"/>
        <w:rPr>
          <w:rFonts w:eastAsia="Times New Roman" w:cs="Tahoma"/>
          <w:bCs/>
          <w:color w:val="000000" w:themeColor="text1"/>
          <w:szCs w:val="20"/>
        </w:rPr>
      </w:pPr>
    </w:p>
    <w:p w14:paraId="75B7B6CA" w14:textId="77777777" w:rsidR="00573D2C" w:rsidRDefault="00573D2C" w:rsidP="00D747F1">
      <w:pPr>
        <w:jc w:val="both"/>
        <w:textAlignment w:val="baseline"/>
        <w:rPr>
          <w:rFonts w:eastAsia="Times New Roman" w:cs="Tahoma"/>
          <w:bCs/>
          <w:color w:val="000000" w:themeColor="text1"/>
          <w:szCs w:val="20"/>
        </w:rPr>
      </w:pPr>
    </w:p>
    <w:p w14:paraId="20A54A2B" w14:textId="722EA442" w:rsidR="00BD4FD6" w:rsidRPr="00AB1915" w:rsidRDefault="00BD4FD6" w:rsidP="00BD4FD6">
      <w:pPr>
        <w:ind w:left="2124" w:hanging="2124"/>
        <w:jc w:val="both"/>
        <w:textAlignment w:val="baseline"/>
        <w:rPr>
          <w:rFonts w:eastAsia="Times New Roman" w:cs="Tahoma"/>
          <w:bCs/>
          <w:color w:val="000000" w:themeColor="text1"/>
          <w:szCs w:val="20"/>
        </w:rPr>
      </w:pPr>
      <w:r>
        <w:rPr>
          <w:rFonts w:eastAsia="Times New Roman" w:cs="Tahoma"/>
          <w:bCs/>
          <w:color w:val="000000" w:themeColor="text1"/>
          <w:szCs w:val="20"/>
        </w:rPr>
        <w:lastRenderedPageBreak/>
        <w:t>1</w:t>
      </w:r>
      <w:r w:rsidR="00D91339">
        <w:rPr>
          <w:rFonts w:eastAsia="Times New Roman" w:cs="Tahoma"/>
          <w:bCs/>
          <w:color w:val="000000" w:themeColor="text1"/>
          <w:szCs w:val="20"/>
        </w:rPr>
        <w:t>3</w:t>
      </w:r>
      <w:r w:rsidRPr="00AB1915">
        <w:rPr>
          <w:rFonts w:eastAsia="Times New Roman" w:cs="Tahoma"/>
          <w:bCs/>
          <w:color w:val="000000" w:themeColor="text1"/>
          <w:szCs w:val="20"/>
        </w:rPr>
        <w:t>:</w:t>
      </w:r>
      <w:r w:rsidR="00AB3641">
        <w:rPr>
          <w:rFonts w:eastAsia="Times New Roman" w:cs="Tahoma"/>
          <w:bCs/>
          <w:color w:val="000000" w:themeColor="text1"/>
          <w:szCs w:val="20"/>
        </w:rPr>
        <w:t>0</w:t>
      </w:r>
      <w:r w:rsidRPr="00AB1915">
        <w:rPr>
          <w:rFonts w:eastAsia="Times New Roman" w:cs="Tahoma"/>
          <w:bCs/>
          <w:color w:val="000000" w:themeColor="text1"/>
          <w:szCs w:val="20"/>
        </w:rPr>
        <w:t>0</w:t>
      </w:r>
      <w:r w:rsidRPr="00AB1915">
        <w:rPr>
          <w:rFonts w:eastAsia="Times New Roman" w:cs="Tahoma"/>
          <w:bCs/>
          <w:color w:val="000000" w:themeColor="text1"/>
          <w:szCs w:val="20"/>
        </w:rPr>
        <w:tab/>
      </w:r>
      <w:r w:rsidRPr="00AB1915">
        <w:rPr>
          <w:rFonts w:eastAsia="Times New Roman" w:cs="Tahoma"/>
          <w:b/>
          <w:bCs/>
          <w:color w:val="000000" w:themeColor="text1"/>
          <w:szCs w:val="20"/>
        </w:rPr>
        <w:t xml:space="preserve">Welcome </w:t>
      </w:r>
    </w:p>
    <w:p w14:paraId="001B1AA8" w14:textId="77777777" w:rsidR="00BD4FD6" w:rsidRPr="00B34FD4" w:rsidRDefault="00BD4FD6" w:rsidP="00BD4FD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textAlignment w:val="baseline"/>
        <w:rPr>
          <w:rFonts w:eastAsia="Times New Roman" w:cs="Tahoma"/>
          <w:bCs/>
          <w:color w:val="000000" w:themeColor="text1"/>
          <w:szCs w:val="20"/>
        </w:rPr>
      </w:pPr>
      <w:r w:rsidRPr="00321348">
        <w:rPr>
          <w:rFonts w:eastAsia="Times New Roman" w:cs="Tahoma"/>
          <w:b/>
          <w:color w:val="000000" w:themeColor="text1"/>
          <w:szCs w:val="20"/>
        </w:rPr>
        <w:t>A</w:t>
      </w:r>
      <w:r>
        <w:rPr>
          <w:rFonts w:eastAsia="Times New Roman" w:cs="Tahoma"/>
          <w:b/>
          <w:color w:val="000000" w:themeColor="text1"/>
          <w:szCs w:val="20"/>
        </w:rPr>
        <w:t xml:space="preserve">. </w:t>
      </w:r>
      <w:r w:rsidRPr="00321348">
        <w:rPr>
          <w:rFonts w:eastAsia="Times New Roman" w:cs="Tahoma"/>
          <w:b/>
          <w:color w:val="000000" w:themeColor="text1"/>
          <w:szCs w:val="20"/>
        </w:rPr>
        <w:t>Marcu</w:t>
      </w:r>
      <w:r w:rsidRPr="00AB1915">
        <w:rPr>
          <w:rFonts w:eastAsia="Times New Roman" w:cs="Tahoma"/>
          <w:bCs/>
          <w:color w:val="000000" w:themeColor="text1"/>
          <w:szCs w:val="20"/>
        </w:rPr>
        <w:t xml:space="preserve">, Director of ERCST </w:t>
      </w:r>
    </w:p>
    <w:p w14:paraId="2ADA5A00" w14:textId="77777777" w:rsidR="00BD4FD6" w:rsidRDefault="00BD4FD6" w:rsidP="00BD4FD6">
      <w:pPr>
        <w:jc w:val="both"/>
        <w:textAlignment w:val="baseline"/>
        <w:rPr>
          <w:rFonts w:eastAsia="Times New Roman" w:cs="Tahoma"/>
          <w:bCs/>
          <w:color w:val="000000" w:themeColor="text1"/>
          <w:szCs w:val="20"/>
        </w:rPr>
      </w:pPr>
    </w:p>
    <w:p w14:paraId="0A9476F3" w14:textId="45C1FE91" w:rsidR="00F05674" w:rsidRPr="0027416B" w:rsidRDefault="00BD4FD6" w:rsidP="0027416B">
      <w:pPr>
        <w:jc w:val="both"/>
        <w:textAlignment w:val="baseline"/>
        <w:rPr>
          <w:rFonts w:eastAsia="Times New Roman" w:cs="Tahoma"/>
          <w:b/>
          <w:color w:val="000000" w:themeColor="text1"/>
          <w:szCs w:val="20"/>
        </w:rPr>
      </w:pPr>
      <w:r>
        <w:rPr>
          <w:rFonts w:eastAsia="Times New Roman" w:cs="Tahoma"/>
          <w:bCs/>
          <w:color w:val="000000" w:themeColor="text1"/>
          <w:szCs w:val="20"/>
        </w:rPr>
        <w:t>1</w:t>
      </w:r>
      <w:r w:rsidR="00D91339">
        <w:rPr>
          <w:rFonts w:eastAsia="Times New Roman" w:cs="Tahoma"/>
          <w:bCs/>
          <w:color w:val="000000" w:themeColor="text1"/>
          <w:szCs w:val="20"/>
        </w:rPr>
        <w:t>3</w:t>
      </w:r>
      <w:r>
        <w:rPr>
          <w:rFonts w:eastAsia="Times New Roman" w:cs="Tahoma"/>
          <w:bCs/>
          <w:color w:val="000000" w:themeColor="text1"/>
          <w:szCs w:val="20"/>
        </w:rPr>
        <w:t>:</w:t>
      </w:r>
      <w:r w:rsidR="00AB3641">
        <w:rPr>
          <w:rFonts w:eastAsia="Times New Roman" w:cs="Tahoma"/>
          <w:bCs/>
          <w:color w:val="000000" w:themeColor="text1"/>
          <w:szCs w:val="20"/>
        </w:rPr>
        <w:t>0</w:t>
      </w:r>
      <w:r>
        <w:rPr>
          <w:rFonts w:eastAsia="Times New Roman" w:cs="Tahoma"/>
          <w:bCs/>
          <w:color w:val="000000" w:themeColor="text1"/>
          <w:szCs w:val="20"/>
        </w:rPr>
        <w:t>5</w:t>
      </w:r>
      <w:r>
        <w:rPr>
          <w:rFonts w:eastAsia="Times New Roman" w:cs="Tahoma"/>
          <w:bCs/>
          <w:color w:val="000000" w:themeColor="text1"/>
          <w:szCs w:val="20"/>
        </w:rPr>
        <w:tab/>
      </w:r>
      <w:r>
        <w:rPr>
          <w:rFonts w:eastAsia="Times New Roman" w:cs="Tahoma"/>
          <w:bCs/>
          <w:color w:val="000000" w:themeColor="text1"/>
          <w:szCs w:val="20"/>
        </w:rPr>
        <w:tab/>
      </w:r>
      <w:r>
        <w:rPr>
          <w:rFonts w:eastAsia="Times New Roman" w:cs="Tahoma"/>
          <w:bCs/>
          <w:color w:val="000000" w:themeColor="text1"/>
          <w:szCs w:val="20"/>
        </w:rPr>
        <w:tab/>
      </w:r>
      <w:r w:rsidR="00F05674">
        <w:rPr>
          <w:rFonts w:eastAsia="Times New Roman" w:cs="Tahoma"/>
          <w:b/>
          <w:color w:val="000000" w:themeColor="text1"/>
          <w:szCs w:val="20"/>
        </w:rPr>
        <w:t>Keynote</w:t>
      </w:r>
    </w:p>
    <w:p w14:paraId="139AB06E" w14:textId="7BEEC457" w:rsidR="00073EFB" w:rsidRPr="00073EFB" w:rsidRDefault="00073EFB" w:rsidP="00073EF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ind w:left="2552" w:hanging="425"/>
        <w:jc w:val="both"/>
        <w:textAlignment w:val="baseline"/>
        <w:rPr>
          <w:rFonts w:eastAsia="Times New Roman" w:cs="Tahoma"/>
          <w:b/>
          <w:color w:val="000000" w:themeColor="text1"/>
          <w:szCs w:val="20"/>
        </w:rPr>
      </w:pPr>
      <w:r w:rsidRPr="00073EFB">
        <w:rPr>
          <w:rFonts w:eastAsia="Times New Roman" w:cs="Tahoma"/>
          <w:b/>
          <w:color w:val="000000" w:themeColor="text1"/>
          <w:szCs w:val="20"/>
        </w:rPr>
        <w:t xml:space="preserve">O. Edenhofer, </w:t>
      </w:r>
      <w:r w:rsidRPr="00073EFB">
        <w:rPr>
          <w:rFonts w:eastAsia="Times New Roman" w:cs="Tahoma"/>
          <w:bCs/>
          <w:color w:val="000000" w:themeColor="text1"/>
          <w:szCs w:val="20"/>
        </w:rPr>
        <w:t xml:space="preserve">(PIK) </w:t>
      </w:r>
      <w:r>
        <w:rPr>
          <w:rFonts w:eastAsia="Times New Roman" w:cs="Tahoma"/>
          <w:bCs/>
          <w:color w:val="000000" w:themeColor="text1"/>
          <w:szCs w:val="20"/>
        </w:rPr>
        <w:t>Potsdam</w:t>
      </w:r>
    </w:p>
    <w:p w14:paraId="306F1A1E" w14:textId="30F22C8C" w:rsidR="00073EFB" w:rsidRPr="00073EFB" w:rsidRDefault="00073EFB" w:rsidP="00073EF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ind w:left="2552" w:hanging="425"/>
        <w:jc w:val="both"/>
        <w:textAlignment w:val="baseline"/>
        <w:rPr>
          <w:rFonts w:eastAsia="Times New Roman" w:cs="Tahoma"/>
          <w:b/>
          <w:color w:val="000000" w:themeColor="text1"/>
          <w:szCs w:val="20"/>
        </w:rPr>
      </w:pPr>
      <w:r>
        <w:rPr>
          <w:rFonts w:eastAsia="Times New Roman" w:cs="Tahoma"/>
          <w:b/>
          <w:color w:val="000000" w:themeColor="text1"/>
          <w:szCs w:val="20"/>
        </w:rPr>
        <w:t xml:space="preserve">A. </w:t>
      </w:r>
      <w:r w:rsidRPr="00073EFB">
        <w:rPr>
          <w:rFonts w:eastAsia="Times New Roman" w:cs="Tahoma"/>
          <w:b/>
          <w:color w:val="000000" w:themeColor="text1"/>
          <w:szCs w:val="20"/>
        </w:rPr>
        <w:t xml:space="preserve">Runge-Metzger, </w:t>
      </w:r>
      <w:r w:rsidRPr="00073EFB">
        <w:rPr>
          <w:rFonts w:eastAsia="Times New Roman" w:cs="Tahoma"/>
          <w:bCs/>
          <w:color w:val="000000" w:themeColor="text1"/>
          <w:szCs w:val="20"/>
        </w:rPr>
        <w:t>MCC</w:t>
      </w:r>
    </w:p>
    <w:p w14:paraId="31E0F442" w14:textId="77777777" w:rsidR="00D747F1" w:rsidRPr="00BD4FD6" w:rsidRDefault="00D747F1" w:rsidP="00D747F1">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2520"/>
        <w:jc w:val="both"/>
        <w:textAlignment w:val="baseline"/>
        <w:rPr>
          <w:rFonts w:eastAsia="Times New Roman" w:cs="Tahoma"/>
          <w:b/>
          <w:color w:val="000000" w:themeColor="text1"/>
          <w:szCs w:val="20"/>
        </w:rPr>
      </w:pPr>
    </w:p>
    <w:p w14:paraId="3F0390DE" w14:textId="77777777" w:rsidR="00BD4FD6" w:rsidRPr="00BD4FD6" w:rsidRDefault="00BD4FD6" w:rsidP="00BD4FD6">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2520"/>
        <w:jc w:val="both"/>
        <w:textAlignment w:val="baseline"/>
        <w:rPr>
          <w:rFonts w:eastAsia="Times New Roman" w:cs="Tahoma"/>
          <w:b/>
          <w:color w:val="000000" w:themeColor="text1"/>
          <w:szCs w:val="20"/>
        </w:rPr>
      </w:pPr>
    </w:p>
    <w:p w14:paraId="740AA5C1" w14:textId="0C2C636A" w:rsidR="00BD4FD6" w:rsidRDefault="00F05674" w:rsidP="00BD4FD6">
      <w:pPr>
        <w:pStyle w:val="Paragrafobase"/>
        <w:pBdr>
          <w:top w:val="single" w:sz="4" w:space="1" w:color="auto"/>
          <w:left w:val="single" w:sz="4" w:space="4" w:color="auto"/>
          <w:bottom w:val="single" w:sz="4" w:space="1" w:color="auto"/>
          <w:right w:val="single" w:sz="4" w:space="4" w:color="auto"/>
        </w:pBdr>
        <w:spacing w:after="120"/>
        <w:jc w:val="both"/>
        <w:rPr>
          <w:rFonts w:ascii="Cambria" w:hAnsi="Cambria" w:cs="Tahoma"/>
          <w:bCs/>
          <w:color w:val="000000" w:themeColor="text1"/>
          <w:sz w:val="22"/>
          <w:lang w:val="en-US"/>
        </w:rPr>
      </w:pPr>
      <w:r>
        <w:rPr>
          <w:rFonts w:ascii="Cambria" w:hAnsi="Cambria" w:cs="Tahoma"/>
          <w:bCs/>
          <w:color w:val="000000" w:themeColor="text1"/>
          <w:sz w:val="22"/>
          <w:lang w:val="en-US"/>
        </w:rPr>
        <w:t>Keynote speakers</w:t>
      </w:r>
      <w:r w:rsidR="00BD4FD6" w:rsidRPr="00C10E88">
        <w:rPr>
          <w:rFonts w:ascii="Cambria" w:hAnsi="Cambria" w:cs="Tahoma"/>
          <w:bCs/>
          <w:color w:val="000000" w:themeColor="text1"/>
          <w:sz w:val="22"/>
          <w:lang w:val="en-US"/>
        </w:rPr>
        <w:t xml:space="preserve"> will present </w:t>
      </w:r>
      <w:r w:rsidR="00784627" w:rsidRPr="00C10E88">
        <w:rPr>
          <w:rFonts w:ascii="Cambria" w:hAnsi="Cambria" w:cs="Tahoma"/>
          <w:bCs/>
          <w:color w:val="000000" w:themeColor="text1"/>
          <w:sz w:val="22"/>
          <w:lang w:val="en-US"/>
        </w:rPr>
        <w:t>their</w:t>
      </w:r>
      <w:r w:rsidR="00BD4FD6" w:rsidRPr="00C10E88">
        <w:rPr>
          <w:rFonts w:ascii="Cambria" w:hAnsi="Cambria" w:cs="Tahoma"/>
          <w:bCs/>
          <w:color w:val="000000" w:themeColor="text1"/>
          <w:sz w:val="22"/>
          <w:lang w:val="en-US"/>
        </w:rPr>
        <w:t xml:space="preserve"> views</w:t>
      </w:r>
      <w:r w:rsidR="008703F0">
        <w:rPr>
          <w:rFonts w:ascii="Cambria" w:hAnsi="Cambria" w:cs="Tahoma"/>
          <w:bCs/>
          <w:color w:val="000000" w:themeColor="text1"/>
          <w:sz w:val="22"/>
          <w:lang w:val="en-US"/>
        </w:rPr>
        <w:t xml:space="preserve"> before the start of </w:t>
      </w:r>
      <w:r w:rsidR="00BD4FD6">
        <w:rPr>
          <w:rFonts w:ascii="Cambria" w:hAnsi="Cambria" w:cs="Tahoma"/>
          <w:bCs/>
          <w:color w:val="000000" w:themeColor="text1"/>
          <w:sz w:val="22"/>
          <w:lang w:val="en-US"/>
        </w:rPr>
        <w:t>t</w:t>
      </w:r>
      <w:r w:rsidR="00CD46E8">
        <w:rPr>
          <w:rFonts w:ascii="Cambria" w:hAnsi="Cambria" w:cs="Tahoma"/>
          <w:bCs/>
          <w:color w:val="000000" w:themeColor="text1"/>
          <w:sz w:val="22"/>
          <w:lang w:val="en-US"/>
        </w:rPr>
        <w:t xml:space="preserve">he </w:t>
      </w:r>
      <w:r w:rsidR="00BD4FD6">
        <w:rPr>
          <w:rFonts w:ascii="Cambria" w:hAnsi="Cambria" w:cs="Tahoma"/>
          <w:bCs/>
          <w:color w:val="000000" w:themeColor="text1"/>
          <w:sz w:val="22"/>
          <w:lang w:val="en-US"/>
        </w:rPr>
        <w:t xml:space="preserve">sessions, </w:t>
      </w:r>
      <w:r w:rsidR="009B3F23">
        <w:rPr>
          <w:rFonts w:ascii="Cambria" w:hAnsi="Cambria" w:cs="Tahoma"/>
          <w:bCs/>
          <w:color w:val="000000" w:themeColor="text1"/>
          <w:sz w:val="22"/>
          <w:lang w:val="en-US"/>
        </w:rPr>
        <w:t>kicked off</w:t>
      </w:r>
      <w:r w:rsidR="00BD4FD6">
        <w:rPr>
          <w:rFonts w:ascii="Cambria" w:hAnsi="Cambria" w:cs="Tahoma"/>
          <w:bCs/>
          <w:color w:val="000000" w:themeColor="text1"/>
          <w:sz w:val="22"/>
          <w:lang w:val="en-US"/>
        </w:rPr>
        <w:t xml:space="preserve"> </w:t>
      </w:r>
      <w:r w:rsidR="008703F0">
        <w:rPr>
          <w:rFonts w:ascii="Cambria" w:hAnsi="Cambria" w:cs="Tahoma"/>
          <w:bCs/>
          <w:color w:val="000000" w:themeColor="text1"/>
          <w:sz w:val="22"/>
          <w:lang w:val="en-US"/>
        </w:rPr>
        <w:t>by</w:t>
      </w:r>
      <w:r w:rsidR="00BD4FD6">
        <w:rPr>
          <w:rFonts w:ascii="Cambria" w:hAnsi="Cambria" w:cs="Tahoma"/>
          <w:bCs/>
          <w:color w:val="000000" w:themeColor="text1"/>
          <w:sz w:val="22"/>
          <w:lang w:val="en-US"/>
        </w:rPr>
        <w:t xml:space="preserve"> a </w:t>
      </w:r>
      <w:r w:rsidR="009B3F23">
        <w:rPr>
          <w:rFonts w:ascii="Cambria" w:hAnsi="Cambria" w:cs="Tahoma"/>
          <w:bCs/>
          <w:color w:val="000000" w:themeColor="text1"/>
          <w:sz w:val="22"/>
          <w:lang w:val="en-US"/>
        </w:rPr>
        <w:t>5-minute</w:t>
      </w:r>
      <w:r w:rsidR="00BD4FD6">
        <w:rPr>
          <w:rFonts w:ascii="Cambria" w:hAnsi="Cambria" w:cs="Tahoma"/>
          <w:bCs/>
          <w:color w:val="000000" w:themeColor="text1"/>
          <w:sz w:val="22"/>
          <w:lang w:val="en-US"/>
        </w:rPr>
        <w:t xml:space="preserve"> initial intervention</w:t>
      </w:r>
      <w:r w:rsidR="008703F0">
        <w:rPr>
          <w:rFonts w:ascii="Cambria" w:hAnsi="Cambria" w:cs="Tahoma"/>
          <w:bCs/>
          <w:color w:val="000000" w:themeColor="text1"/>
          <w:sz w:val="22"/>
          <w:lang w:val="en-US"/>
        </w:rPr>
        <w:t xml:space="preserve">. </w:t>
      </w:r>
      <w:r w:rsidR="00F42056">
        <w:rPr>
          <w:rFonts w:ascii="Cambria" w:hAnsi="Cambria" w:cs="Tahoma"/>
          <w:bCs/>
          <w:color w:val="000000" w:themeColor="text1"/>
          <w:sz w:val="22"/>
          <w:lang w:val="en-US"/>
        </w:rPr>
        <w:t>O</w:t>
      </w:r>
      <w:r w:rsidR="00BD4FD6">
        <w:rPr>
          <w:rFonts w:ascii="Cambria" w:hAnsi="Cambria" w:cs="Tahoma"/>
          <w:bCs/>
          <w:color w:val="000000" w:themeColor="text1"/>
          <w:sz w:val="22"/>
          <w:lang w:val="en-US"/>
        </w:rPr>
        <w:t xml:space="preserve">pen </w:t>
      </w:r>
      <w:r w:rsidR="00BD4FD6" w:rsidRPr="00C10E88">
        <w:rPr>
          <w:rFonts w:ascii="Cambria" w:hAnsi="Cambria" w:cs="Tahoma"/>
          <w:bCs/>
          <w:color w:val="000000" w:themeColor="text1"/>
          <w:sz w:val="22"/>
          <w:lang w:val="en-US"/>
        </w:rPr>
        <w:t>roundtable discussion</w:t>
      </w:r>
      <w:r w:rsidR="00F42056">
        <w:rPr>
          <w:rFonts w:ascii="Cambria" w:hAnsi="Cambria" w:cs="Tahoma"/>
          <w:bCs/>
          <w:color w:val="000000" w:themeColor="text1"/>
          <w:sz w:val="22"/>
          <w:lang w:val="en-US"/>
        </w:rPr>
        <w:t>s</w:t>
      </w:r>
      <w:r w:rsidR="00BD4FD6">
        <w:rPr>
          <w:rFonts w:ascii="Cambria" w:hAnsi="Cambria" w:cs="Tahoma"/>
          <w:bCs/>
          <w:color w:val="000000" w:themeColor="text1"/>
          <w:sz w:val="22"/>
          <w:lang w:val="en-US"/>
        </w:rPr>
        <w:t xml:space="preserve"> wi</w:t>
      </w:r>
      <w:r w:rsidR="008703F0">
        <w:rPr>
          <w:rFonts w:ascii="Cambria" w:hAnsi="Cambria" w:cs="Tahoma"/>
          <w:bCs/>
          <w:color w:val="000000" w:themeColor="text1"/>
          <w:sz w:val="22"/>
          <w:lang w:val="en-US"/>
        </w:rPr>
        <w:t>ll conclude</w:t>
      </w:r>
      <w:r w:rsidR="00F42056">
        <w:rPr>
          <w:rFonts w:ascii="Cambria" w:hAnsi="Cambria" w:cs="Tahoma"/>
          <w:bCs/>
          <w:color w:val="000000" w:themeColor="text1"/>
          <w:sz w:val="22"/>
          <w:lang w:val="en-US"/>
        </w:rPr>
        <w:t xml:space="preserve"> </w:t>
      </w:r>
      <w:r w:rsidR="00EC2586">
        <w:rPr>
          <w:rFonts w:ascii="Cambria" w:hAnsi="Cambria" w:cs="Tahoma"/>
          <w:bCs/>
          <w:color w:val="000000" w:themeColor="text1"/>
          <w:sz w:val="22"/>
          <w:lang w:val="en-US"/>
        </w:rPr>
        <w:t>the</w:t>
      </w:r>
      <w:r w:rsidR="00F42056">
        <w:rPr>
          <w:rFonts w:ascii="Cambria" w:hAnsi="Cambria" w:cs="Tahoma"/>
          <w:bCs/>
          <w:color w:val="000000" w:themeColor="text1"/>
          <w:sz w:val="22"/>
          <w:lang w:val="en-US"/>
        </w:rPr>
        <w:t xml:space="preserve"> session.</w:t>
      </w:r>
    </w:p>
    <w:p w14:paraId="5E96CAED" w14:textId="70BE6E28" w:rsidR="000D099A" w:rsidRPr="00EC2586" w:rsidRDefault="00BD4FD6" w:rsidP="00EC2586">
      <w:pPr>
        <w:pStyle w:val="Paragrafobase"/>
        <w:pBdr>
          <w:top w:val="single" w:sz="4" w:space="1" w:color="auto"/>
          <w:left w:val="single" w:sz="4" w:space="4" w:color="auto"/>
          <w:bottom w:val="single" w:sz="4" w:space="1" w:color="auto"/>
          <w:right w:val="single" w:sz="4" w:space="4" w:color="auto"/>
        </w:pBdr>
        <w:spacing w:after="120"/>
        <w:jc w:val="both"/>
        <w:rPr>
          <w:rFonts w:ascii="Cambria" w:hAnsi="Cambria" w:cs="Tahoma"/>
          <w:bCs/>
          <w:color w:val="000000" w:themeColor="text1"/>
          <w:sz w:val="22"/>
          <w:lang w:val="en-US"/>
        </w:rPr>
      </w:pPr>
      <w:r w:rsidRPr="00C10E88">
        <w:rPr>
          <w:rFonts w:ascii="Cambria" w:hAnsi="Cambria" w:cs="Tahoma"/>
          <w:bCs/>
          <w:color w:val="000000" w:themeColor="text1"/>
          <w:sz w:val="22"/>
          <w:lang w:val="en-US"/>
        </w:rPr>
        <w:t xml:space="preserve">This </w:t>
      </w:r>
      <w:r>
        <w:rPr>
          <w:rFonts w:ascii="Cambria" w:hAnsi="Cambria" w:cs="Tahoma"/>
          <w:bCs/>
          <w:color w:val="000000" w:themeColor="text1"/>
          <w:sz w:val="22"/>
          <w:lang w:val="en-US"/>
        </w:rPr>
        <w:t xml:space="preserve">follow up </w:t>
      </w:r>
      <w:r w:rsidRPr="00C10E88">
        <w:rPr>
          <w:rFonts w:ascii="Cambria" w:hAnsi="Cambria" w:cs="Tahoma"/>
          <w:bCs/>
          <w:color w:val="000000" w:themeColor="text1"/>
          <w:sz w:val="22"/>
          <w:lang w:val="en-US"/>
        </w:rPr>
        <w:t>brainstorm session is meant to bring together a small group of stakeholders to discus</w:t>
      </w:r>
      <w:r>
        <w:rPr>
          <w:rFonts w:ascii="Cambria" w:hAnsi="Cambria" w:cs="Tahoma"/>
          <w:bCs/>
          <w:color w:val="000000" w:themeColor="text1"/>
          <w:sz w:val="22"/>
          <w:lang w:val="en-US"/>
        </w:rPr>
        <w:t xml:space="preserve">s the </w:t>
      </w:r>
      <w:r w:rsidR="00D747F1">
        <w:rPr>
          <w:rFonts w:ascii="Cambria" w:hAnsi="Cambria" w:cs="Tahoma"/>
          <w:bCs/>
          <w:color w:val="000000" w:themeColor="text1"/>
          <w:sz w:val="22"/>
          <w:lang w:val="en-US"/>
        </w:rPr>
        <w:t>potential governance of carbon removals in the EU.</w:t>
      </w:r>
      <w:r w:rsidR="003C3C26">
        <w:rPr>
          <w:rFonts w:eastAsia="Times New Roman" w:cs="Tahoma"/>
          <w:b/>
          <w:color w:val="000000" w:themeColor="text1"/>
          <w:szCs w:val="20"/>
        </w:rPr>
        <w:tab/>
      </w:r>
    </w:p>
    <w:p w14:paraId="08AC445A" w14:textId="0E1BE116" w:rsidR="003C3C26" w:rsidRDefault="003C3C26" w:rsidP="003C3C26">
      <w:pPr>
        <w:tabs>
          <w:tab w:val="left" w:pos="720"/>
          <w:tab w:val="left" w:pos="1440"/>
          <w:tab w:val="left" w:pos="2160"/>
          <w:tab w:val="left" w:pos="2880"/>
          <w:tab w:val="left" w:pos="3600"/>
          <w:tab w:val="left" w:pos="4320"/>
          <w:tab w:val="left" w:pos="5499"/>
        </w:tabs>
        <w:ind w:left="2160" w:hanging="2160"/>
        <w:jc w:val="both"/>
        <w:textAlignment w:val="baseline"/>
        <w:rPr>
          <w:rFonts w:eastAsia="Times New Roman" w:cs="Tahoma"/>
          <w:b/>
          <w:color w:val="000000" w:themeColor="text1"/>
          <w:szCs w:val="20"/>
        </w:rPr>
      </w:pPr>
      <w:r w:rsidRPr="00D86AA2">
        <w:rPr>
          <w:rFonts w:eastAsia="Times New Roman" w:cs="Tahoma"/>
          <w:b/>
          <w:color w:val="000000" w:themeColor="text1"/>
          <w:szCs w:val="20"/>
        </w:rPr>
        <w:t>Roundtable</w:t>
      </w:r>
    </w:p>
    <w:p w14:paraId="53C6F51B" w14:textId="77777777" w:rsidR="003C3C26" w:rsidRDefault="003C3C26" w:rsidP="003C3C26">
      <w:pPr>
        <w:tabs>
          <w:tab w:val="left" w:pos="720"/>
          <w:tab w:val="left" w:pos="1440"/>
          <w:tab w:val="left" w:pos="2160"/>
          <w:tab w:val="left" w:pos="2880"/>
          <w:tab w:val="left" w:pos="3600"/>
          <w:tab w:val="left" w:pos="4320"/>
          <w:tab w:val="left" w:pos="5499"/>
        </w:tabs>
        <w:ind w:left="2160" w:hanging="2160"/>
        <w:jc w:val="both"/>
        <w:textAlignment w:val="baseline"/>
        <w:rPr>
          <w:rFonts w:eastAsia="Times New Roman" w:cs="Tahoma"/>
          <w:bCs/>
          <w:color w:val="000000" w:themeColor="text1"/>
          <w:szCs w:val="20"/>
        </w:rPr>
      </w:pPr>
    </w:p>
    <w:p w14:paraId="49FF5CA9" w14:textId="29F87910" w:rsidR="001E54CC" w:rsidRDefault="003C3C26" w:rsidP="00573D2C">
      <w:pPr>
        <w:tabs>
          <w:tab w:val="left" w:pos="720"/>
          <w:tab w:val="left" w:pos="1440"/>
          <w:tab w:val="left" w:pos="2160"/>
          <w:tab w:val="left" w:pos="2880"/>
          <w:tab w:val="left" w:pos="3600"/>
          <w:tab w:val="left" w:pos="4320"/>
          <w:tab w:val="left" w:pos="5499"/>
        </w:tabs>
        <w:ind w:left="2160" w:hanging="2160"/>
        <w:jc w:val="both"/>
        <w:textAlignment w:val="baseline"/>
        <w:rPr>
          <w:rFonts w:cs="Tahoma"/>
          <w:b/>
          <w:color w:val="000000" w:themeColor="text1"/>
        </w:rPr>
      </w:pPr>
      <w:r>
        <w:rPr>
          <w:rFonts w:eastAsia="Times New Roman" w:cs="Tahoma"/>
          <w:bCs/>
          <w:color w:val="000000" w:themeColor="text1"/>
          <w:szCs w:val="20"/>
        </w:rPr>
        <w:t>1</w:t>
      </w:r>
      <w:r w:rsidR="00D91339">
        <w:rPr>
          <w:rFonts w:eastAsia="Times New Roman" w:cs="Tahoma"/>
          <w:bCs/>
          <w:color w:val="000000" w:themeColor="text1"/>
          <w:szCs w:val="20"/>
        </w:rPr>
        <w:t>3</w:t>
      </w:r>
      <w:r w:rsidRPr="00AB1915">
        <w:rPr>
          <w:rFonts w:eastAsia="Times New Roman" w:cs="Tahoma"/>
          <w:bCs/>
          <w:color w:val="000000" w:themeColor="text1"/>
          <w:szCs w:val="20"/>
        </w:rPr>
        <w:t>:</w:t>
      </w:r>
      <w:r w:rsidR="00AB3641">
        <w:rPr>
          <w:rFonts w:eastAsia="Times New Roman" w:cs="Tahoma"/>
          <w:bCs/>
          <w:color w:val="000000" w:themeColor="text1"/>
          <w:szCs w:val="20"/>
        </w:rPr>
        <w:t>30</w:t>
      </w:r>
      <w:r>
        <w:rPr>
          <w:rFonts w:eastAsia="Times New Roman" w:cs="Tahoma"/>
          <w:bCs/>
          <w:color w:val="000000" w:themeColor="text1"/>
          <w:szCs w:val="20"/>
        </w:rPr>
        <w:tab/>
      </w:r>
      <w:r>
        <w:rPr>
          <w:rFonts w:eastAsia="Times New Roman" w:cs="Tahoma"/>
          <w:bCs/>
          <w:color w:val="000000" w:themeColor="text1"/>
          <w:szCs w:val="20"/>
        </w:rPr>
        <w:tab/>
      </w:r>
      <w:r>
        <w:rPr>
          <w:rFonts w:eastAsia="Times New Roman" w:cs="Tahoma"/>
          <w:bCs/>
          <w:color w:val="000000" w:themeColor="text1"/>
          <w:szCs w:val="20"/>
        </w:rPr>
        <w:tab/>
      </w:r>
      <w:r w:rsidR="00297609">
        <w:rPr>
          <w:rFonts w:eastAsia="Times New Roman" w:cs="Tahoma"/>
          <w:b/>
          <w:color w:val="000000" w:themeColor="text1"/>
          <w:szCs w:val="20"/>
        </w:rPr>
        <w:t>Roundtable</w:t>
      </w:r>
    </w:p>
    <w:p w14:paraId="5D2596FB" w14:textId="77777777" w:rsidR="00573D2C" w:rsidRPr="00573D2C" w:rsidRDefault="00573D2C" w:rsidP="00573D2C">
      <w:pPr>
        <w:tabs>
          <w:tab w:val="left" w:pos="720"/>
          <w:tab w:val="left" w:pos="1440"/>
          <w:tab w:val="left" w:pos="2160"/>
          <w:tab w:val="left" w:pos="2880"/>
          <w:tab w:val="left" w:pos="3600"/>
          <w:tab w:val="left" w:pos="4320"/>
          <w:tab w:val="left" w:pos="5499"/>
        </w:tabs>
        <w:ind w:left="2160" w:hanging="2160"/>
        <w:jc w:val="both"/>
        <w:textAlignment w:val="baseline"/>
        <w:rPr>
          <w:rFonts w:cs="Tahoma"/>
          <w:b/>
          <w:color w:val="000000" w:themeColor="text1"/>
        </w:rPr>
      </w:pPr>
    </w:p>
    <w:p w14:paraId="34FE3E5D" w14:textId="77777777" w:rsidR="00573D2C" w:rsidRPr="00573D2C" w:rsidRDefault="00573D2C" w:rsidP="00573D2C">
      <w:pPr>
        <w:pStyle w:val="ListParagraph"/>
        <w:numPr>
          <w:ilvl w:val="0"/>
          <w:numId w:val="18"/>
        </w:numPr>
        <w:tabs>
          <w:tab w:val="left" w:pos="720"/>
          <w:tab w:val="left" w:pos="1440"/>
          <w:tab w:val="left" w:pos="2160"/>
          <w:tab w:val="left" w:pos="2880"/>
          <w:tab w:val="left" w:pos="3600"/>
          <w:tab w:val="left" w:pos="4320"/>
          <w:tab w:val="left" w:pos="5499"/>
        </w:tabs>
        <w:jc w:val="both"/>
        <w:textAlignment w:val="baseline"/>
        <w:rPr>
          <w:rFonts w:eastAsia="Times New Roman" w:cs="Tahoma"/>
          <w:b/>
          <w:color w:val="000000" w:themeColor="text1"/>
          <w:szCs w:val="20"/>
          <w:lang w:val="fr-BE"/>
        </w:rPr>
      </w:pPr>
      <w:r>
        <w:rPr>
          <w:rFonts w:eastAsia="Times New Roman" w:cs="Tahoma"/>
          <w:b/>
          <w:color w:val="000000" w:themeColor="text1"/>
          <w:szCs w:val="20"/>
          <w:lang w:val="fr-BE"/>
        </w:rPr>
        <w:t xml:space="preserve">I. </w:t>
      </w:r>
      <w:r w:rsidRPr="001E54CC">
        <w:rPr>
          <w:rFonts w:eastAsia="Times New Roman" w:cs="Tahoma"/>
          <w:b/>
          <w:color w:val="000000" w:themeColor="text1"/>
          <w:szCs w:val="20"/>
          <w:lang w:val="fr-BE"/>
        </w:rPr>
        <w:t>Ramming</w:t>
      </w:r>
      <w:r>
        <w:rPr>
          <w:rFonts w:eastAsia="Times New Roman" w:cs="Tahoma"/>
          <w:b/>
          <w:color w:val="000000" w:themeColor="text1"/>
          <w:szCs w:val="20"/>
          <w:lang w:val="fr-BE"/>
        </w:rPr>
        <w:t xml:space="preserve">, </w:t>
      </w:r>
      <w:r>
        <w:rPr>
          <w:rFonts w:eastAsia="Times New Roman" w:cs="Tahoma"/>
          <w:bCs/>
          <w:color w:val="000000" w:themeColor="text1"/>
          <w:szCs w:val="20"/>
          <w:lang w:val="fr-BE"/>
        </w:rPr>
        <w:t>BBVA</w:t>
      </w:r>
    </w:p>
    <w:p w14:paraId="7B350BAB" w14:textId="77777777" w:rsidR="00573D2C" w:rsidRPr="005F4A18" w:rsidRDefault="00573D2C" w:rsidP="00573D2C">
      <w:pPr>
        <w:pStyle w:val="ListParagraph"/>
        <w:tabs>
          <w:tab w:val="left" w:pos="720"/>
          <w:tab w:val="left" w:pos="1440"/>
          <w:tab w:val="left" w:pos="2160"/>
          <w:tab w:val="left" w:pos="2880"/>
          <w:tab w:val="left" w:pos="3600"/>
          <w:tab w:val="left" w:pos="4320"/>
          <w:tab w:val="left" w:pos="5499"/>
        </w:tabs>
        <w:ind w:left="2520"/>
        <w:jc w:val="both"/>
        <w:textAlignment w:val="baseline"/>
        <w:rPr>
          <w:rFonts w:eastAsia="Times New Roman" w:cs="Tahoma"/>
          <w:b/>
          <w:color w:val="000000" w:themeColor="text1"/>
          <w:szCs w:val="20"/>
          <w:lang w:val="fr-BE"/>
        </w:rPr>
      </w:pPr>
    </w:p>
    <w:p w14:paraId="1502FB9A" w14:textId="77777777" w:rsidR="00573D2C" w:rsidRPr="00573D2C" w:rsidRDefault="00573D2C" w:rsidP="00573D2C">
      <w:pPr>
        <w:pStyle w:val="ListParagraph"/>
        <w:numPr>
          <w:ilvl w:val="0"/>
          <w:numId w:val="18"/>
        </w:numPr>
        <w:tabs>
          <w:tab w:val="left" w:pos="720"/>
          <w:tab w:val="left" w:pos="1440"/>
          <w:tab w:val="left" w:pos="2160"/>
          <w:tab w:val="left" w:pos="2880"/>
          <w:tab w:val="left" w:pos="3600"/>
          <w:tab w:val="left" w:pos="4320"/>
          <w:tab w:val="left" w:pos="5499"/>
        </w:tabs>
        <w:jc w:val="both"/>
        <w:textAlignment w:val="baseline"/>
        <w:rPr>
          <w:rFonts w:eastAsia="Times New Roman" w:cs="Tahoma"/>
          <w:b/>
          <w:color w:val="000000" w:themeColor="text1"/>
          <w:szCs w:val="20"/>
        </w:rPr>
      </w:pPr>
      <w:r w:rsidRPr="001E54CC">
        <w:rPr>
          <w:rFonts w:eastAsia="Times New Roman" w:cs="Tahoma"/>
          <w:b/>
          <w:color w:val="000000" w:themeColor="text1"/>
          <w:szCs w:val="20"/>
        </w:rPr>
        <w:t xml:space="preserve">J. </w:t>
      </w:r>
      <w:proofErr w:type="spellStart"/>
      <w:r w:rsidRPr="001E54CC">
        <w:rPr>
          <w:rFonts w:eastAsia="Times New Roman" w:cs="Tahoma"/>
          <w:b/>
          <w:color w:val="000000" w:themeColor="text1"/>
          <w:szCs w:val="20"/>
        </w:rPr>
        <w:t>Delbeke</w:t>
      </w:r>
      <w:proofErr w:type="spellEnd"/>
      <w:r w:rsidRPr="001E54CC">
        <w:rPr>
          <w:rFonts w:eastAsia="Times New Roman" w:cs="Tahoma"/>
          <w:b/>
          <w:color w:val="000000" w:themeColor="text1"/>
          <w:szCs w:val="20"/>
        </w:rPr>
        <w:t xml:space="preserve">, </w:t>
      </w:r>
      <w:r w:rsidRPr="001E54CC">
        <w:rPr>
          <w:rFonts w:eastAsia="Times New Roman" w:cs="Tahoma"/>
          <w:bCs/>
          <w:color w:val="000000" w:themeColor="text1"/>
          <w:szCs w:val="20"/>
        </w:rPr>
        <w:t>European University Institute</w:t>
      </w:r>
    </w:p>
    <w:p w14:paraId="3DFEC266" w14:textId="77777777" w:rsidR="00573D2C" w:rsidRPr="00573D2C" w:rsidRDefault="00573D2C" w:rsidP="00573D2C">
      <w:pPr>
        <w:tabs>
          <w:tab w:val="left" w:pos="720"/>
          <w:tab w:val="left" w:pos="1440"/>
          <w:tab w:val="left" w:pos="2160"/>
          <w:tab w:val="left" w:pos="2880"/>
          <w:tab w:val="left" w:pos="3600"/>
          <w:tab w:val="left" w:pos="4320"/>
          <w:tab w:val="left" w:pos="5499"/>
        </w:tabs>
        <w:jc w:val="both"/>
        <w:textAlignment w:val="baseline"/>
        <w:rPr>
          <w:rFonts w:eastAsia="Times New Roman" w:cs="Tahoma"/>
          <w:b/>
          <w:color w:val="000000" w:themeColor="text1"/>
          <w:szCs w:val="20"/>
        </w:rPr>
      </w:pPr>
    </w:p>
    <w:p w14:paraId="0DF5B6E5" w14:textId="77777777" w:rsidR="00573D2C" w:rsidRPr="00573D2C" w:rsidRDefault="00573D2C" w:rsidP="00573D2C">
      <w:pPr>
        <w:pStyle w:val="ListParagraph"/>
        <w:numPr>
          <w:ilvl w:val="0"/>
          <w:numId w:val="18"/>
        </w:numPr>
        <w:tabs>
          <w:tab w:val="left" w:pos="720"/>
          <w:tab w:val="left" w:pos="1440"/>
          <w:tab w:val="left" w:pos="2160"/>
          <w:tab w:val="left" w:pos="2880"/>
          <w:tab w:val="left" w:pos="3600"/>
          <w:tab w:val="left" w:pos="4320"/>
          <w:tab w:val="left" w:pos="5499"/>
        </w:tabs>
        <w:jc w:val="both"/>
        <w:textAlignment w:val="baseline"/>
        <w:rPr>
          <w:rFonts w:eastAsia="Times New Roman" w:cs="Tahoma"/>
          <w:b/>
          <w:color w:val="000000" w:themeColor="text1"/>
          <w:szCs w:val="20"/>
        </w:rPr>
      </w:pPr>
      <w:r>
        <w:rPr>
          <w:rFonts w:eastAsia="Times New Roman" w:cs="Tahoma"/>
          <w:b/>
          <w:color w:val="000000" w:themeColor="text1"/>
          <w:szCs w:val="20"/>
        </w:rPr>
        <w:t xml:space="preserve">L. </w:t>
      </w:r>
      <w:proofErr w:type="spellStart"/>
      <w:r w:rsidRPr="001E54CC">
        <w:rPr>
          <w:rFonts w:eastAsia="Times New Roman" w:cs="Tahoma"/>
          <w:b/>
          <w:color w:val="000000" w:themeColor="text1"/>
          <w:szCs w:val="20"/>
        </w:rPr>
        <w:t>Taschini</w:t>
      </w:r>
      <w:proofErr w:type="spellEnd"/>
      <w:r>
        <w:rPr>
          <w:rFonts w:eastAsia="Times New Roman" w:cs="Tahoma"/>
          <w:b/>
          <w:color w:val="000000" w:themeColor="text1"/>
          <w:szCs w:val="20"/>
        </w:rPr>
        <w:t xml:space="preserve">, </w:t>
      </w:r>
      <w:r w:rsidRPr="006004E7">
        <w:rPr>
          <w:rFonts w:eastAsia="Times New Roman" w:cs="Tahoma"/>
          <w:bCs/>
          <w:color w:val="000000" w:themeColor="text1"/>
          <w:szCs w:val="20"/>
        </w:rPr>
        <w:t>University of Edinburgh Business School &amp; Grantham Research Institute (LSE)</w:t>
      </w:r>
    </w:p>
    <w:p w14:paraId="1FF12B35" w14:textId="77777777" w:rsidR="00573D2C" w:rsidRPr="00573D2C" w:rsidRDefault="00573D2C" w:rsidP="00573D2C">
      <w:pPr>
        <w:tabs>
          <w:tab w:val="left" w:pos="720"/>
          <w:tab w:val="left" w:pos="1440"/>
          <w:tab w:val="left" w:pos="2160"/>
          <w:tab w:val="left" w:pos="2880"/>
          <w:tab w:val="left" w:pos="3600"/>
          <w:tab w:val="left" w:pos="4320"/>
          <w:tab w:val="left" w:pos="5499"/>
        </w:tabs>
        <w:jc w:val="both"/>
        <w:textAlignment w:val="baseline"/>
        <w:rPr>
          <w:rFonts w:eastAsia="Times New Roman" w:cs="Tahoma"/>
          <w:b/>
          <w:color w:val="000000" w:themeColor="text1"/>
          <w:szCs w:val="20"/>
        </w:rPr>
      </w:pPr>
    </w:p>
    <w:p w14:paraId="688E9323" w14:textId="04C12BC8" w:rsidR="001E54CC" w:rsidRPr="00573D2C" w:rsidRDefault="009E549A" w:rsidP="001E54CC">
      <w:pPr>
        <w:pStyle w:val="ListParagraph"/>
        <w:numPr>
          <w:ilvl w:val="0"/>
          <w:numId w:val="18"/>
        </w:numPr>
        <w:tabs>
          <w:tab w:val="left" w:pos="720"/>
          <w:tab w:val="left" w:pos="1440"/>
          <w:tab w:val="left" w:pos="2160"/>
          <w:tab w:val="left" w:pos="2880"/>
          <w:tab w:val="left" w:pos="3600"/>
          <w:tab w:val="left" w:pos="4320"/>
          <w:tab w:val="left" w:pos="5499"/>
        </w:tabs>
        <w:jc w:val="both"/>
        <w:textAlignment w:val="baseline"/>
        <w:rPr>
          <w:rFonts w:eastAsia="Times New Roman" w:cs="Tahoma"/>
          <w:b/>
          <w:color w:val="000000" w:themeColor="text1"/>
          <w:szCs w:val="20"/>
        </w:rPr>
      </w:pPr>
      <w:r>
        <w:rPr>
          <w:rFonts w:eastAsia="Times New Roman" w:cs="Tahoma"/>
          <w:b/>
          <w:color w:val="000000" w:themeColor="text1"/>
          <w:szCs w:val="20"/>
        </w:rPr>
        <w:t>M</w:t>
      </w:r>
      <w:r w:rsidR="001E54CC" w:rsidRPr="00094BAF">
        <w:rPr>
          <w:rFonts w:eastAsia="Times New Roman" w:cs="Tahoma"/>
          <w:b/>
          <w:color w:val="000000" w:themeColor="text1"/>
          <w:szCs w:val="20"/>
        </w:rPr>
        <w:t>. F</w:t>
      </w:r>
      <w:r>
        <w:rPr>
          <w:rFonts w:eastAsia="Times New Roman" w:cs="Tahoma"/>
          <w:b/>
          <w:color w:val="000000" w:themeColor="text1"/>
          <w:szCs w:val="20"/>
        </w:rPr>
        <w:t>erdinand</w:t>
      </w:r>
      <w:r w:rsidR="00094BAF" w:rsidRPr="00094BAF">
        <w:rPr>
          <w:rFonts w:eastAsia="Times New Roman" w:cs="Tahoma"/>
          <w:b/>
          <w:color w:val="000000" w:themeColor="text1"/>
          <w:szCs w:val="20"/>
        </w:rPr>
        <w:t xml:space="preserve">, </w:t>
      </w:r>
      <w:proofErr w:type="spellStart"/>
      <w:r w:rsidR="00094BAF" w:rsidRPr="00094BAF">
        <w:rPr>
          <w:rFonts w:eastAsia="Times New Roman" w:cs="Tahoma"/>
          <w:bCs/>
          <w:color w:val="000000" w:themeColor="text1"/>
          <w:szCs w:val="20"/>
        </w:rPr>
        <w:t>V</w:t>
      </w:r>
      <w:r w:rsidR="00094BAF">
        <w:rPr>
          <w:rFonts w:eastAsia="Times New Roman" w:cs="Tahoma"/>
          <w:bCs/>
          <w:color w:val="000000" w:themeColor="text1"/>
          <w:szCs w:val="20"/>
        </w:rPr>
        <w:t>eyt</w:t>
      </w:r>
      <w:proofErr w:type="spellEnd"/>
    </w:p>
    <w:p w14:paraId="2F9BD22A" w14:textId="77777777" w:rsidR="002A02E6" w:rsidRPr="00573D2C" w:rsidRDefault="002A02E6" w:rsidP="00573D2C">
      <w:pPr>
        <w:rPr>
          <w:rFonts w:eastAsia="Times New Roman" w:cs="Tahoma"/>
          <w:b/>
          <w:color w:val="000000" w:themeColor="text1"/>
          <w:szCs w:val="20"/>
        </w:rPr>
      </w:pPr>
    </w:p>
    <w:p w14:paraId="4D00B7E6" w14:textId="3A12D9DC" w:rsidR="002A02E6" w:rsidRPr="001E54CC" w:rsidRDefault="002A02E6" w:rsidP="001E54CC">
      <w:pPr>
        <w:pStyle w:val="ListParagraph"/>
        <w:numPr>
          <w:ilvl w:val="0"/>
          <w:numId w:val="18"/>
        </w:numPr>
        <w:tabs>
          <w:tab w:val="left" w:pos="720"/>
          <w:tab w:val="left" w:pos="1440"/>
          <w:tab w:val="left" w:pos="2160"/>
          <w:tab w:val="left" w:pos="2880"/>
          <w:tab w:val="left" w:pos="3600"/>
          <w:tab w:val="left" w:pos="4320"/>
          <w:tab w:val="left" w:pos="5499"/>
        </w:tabs>
        <w:jc w:val="both"/>
        <w:textAlignment w:val="baseline"/>
        <w:rPr>
          <w:rFonts w:eastAsia="Times New Roman" w:cs="Tahoma"/>
          <w:b/>
          <w:color w:val="000000" w:themeColor="text1"/>
          <w:szCs w:val="20"/>
        </w:rPr>
      </w:pPr>
      <w:r>
        <w:rPr>
          <w:rFonts w:eastAsia="Times New Roman" w:cs="Tahoma"/>
          <w:b/>
          <w:color w:val="000000" w:themeColor="text1"/>
          <w:szCs w:val="20"/>
        </w:rPr>
        <w:t xml:space="preserve">W. </w:t>
      </w:r>
      <w:r w:rsidRPr="002A02E6">
        <w:rPr>
          <w:rFonts w:eastAsia="Times New Roman" w:cs="Tahoma"/>
          <w:b/>
          <w:color w:val="000000" w:themeColor="text1"/>
          <w:szCs w:val="20"/>
        </w:rPr>
        <w:t>Rickels</w:t>
      </w:r>
      <w:r>
        <w:rPr>
          <w:rFonts w:eastAsia="Times New Roman" w:cs="Tahoma"/>
          <w:b/>
          <w:color w:val="000000" w:themeColor="text1"/>
          <w:szCs w:val="20"/>
        </w:rPr>
        <w:t xml:space="preserve">, </w:t>
      </w:r>
      <w:r w:rsidRPr="002A02E6">
        <w:rPr>
          <w:rFonts w:eastAsia="Times New Roman" w:cs="Tahoma"/>
          <w:bCs/>
          <w:color w:val="000000" w:themeColor="text1"/>
          <w:szCs w:val="20"/>
        </w:rPr>
        <w:t>Kiel Institute</w:t>
      </w:r>
      <w:r w:rsidR="00D039B6">
        <w:rPr>
          <w:rFonts w:eastAsia="Times New Roman" w:cs="Tahoma"/>
          <w:bCs/>
          <w:color w:val="000000" w:themeColor="text1"/>
          <w:szCs w:val="20"/>
        </w:rPr>
        <w:t xml:space="preserve"> for the World Economy</w:t>
      </w:r>
    </w:p>
    <w:p w14:paraId="7EB5F866" w14:textId="77777777" w:rsidR="003C3C26" w:rsidRPr="00297609" w:rsidRDefault="003C3C26" w:rsidP="003C3C26">
      <w:pPr>
        <w:spacing w:after="120"/>
        <w:jc w:val="both"/>
        <w:textAlignment w:val="baseline"/>
        <w:rPr>
          <w:rFonts w:eastAsia="Times New Roman" w:cs="Tahoma"/>
          <w:b/>
          <w:color w:val="000000" w:themeColor="text1"/>
          <w:szCs w:val="20"/>
        </w:rPr>
      </w:pPr>
    </w:p>
    <w:p w14:paraId="26074E9A" w14:textId="211FFA39" w:rsidR="003C3C26" w:rsidRPr="007C3DB2" w:rsidRDefault="003C3C26" w:rsidP="003C3C26">
      <w:pPr>
        <w:spacing w:after="120"/>
        <w:jc w:val="both"/>
        <w:textAlignment w:val="baseline"/>
        <w:rPr>
          <w:rFonts w:eastAsia="Times New Roman" w:cs="Tahoma"/>
          <w:b/>
          <w:color w:val="000000" w:themeColor="text1"/>
          <w:szCs w:val="20"/>
        </w:rPr>
      </w:pPr>
      <w:r>
        <w:rPr>
          <w:rFonts w:eastAsia="Times New Roman" w:cs="Tahoma"/>
          <w:bCs/>
          <w:color w:val="000000" w:themeColor="text1"/>
          <w:szCs w:val="20"/>
        </w:rPr>
        <w:t>1</w:t>
      </w:r>
      <w:r w:rsidR="00D91339">
        <w:rPr>
          <w:rFonts w:eastAsia="Times New Roman" w:cs="Tahoma"/>
          <w:bCs/>
          <w:color w:val="000000" w:themeColor="text1"/>
          <w:szCs w:val="20"/>
        </w:rPr>
        <w:t>4</w:t>
      </w:r>
      <w:r w:rsidRPr="007C3DB2">
        <w:rPr>
          <w:rFonts w:eastAsia="Times New Roman" w:cs="Tahoma"/>
          <w:bCs/>
          <w:color w:val="000000" w:themeColor="text1"/>
          <w:szCs w:val="20"/>
        </w:rPr>
        <w:t>:</w:t>
      </w:r>
      <w:r w:rsidR="00D91339">
        <w:rPr>
          <w:rFonts w:eastAsia="Times New Roman" w:cs="Tahoma"/>
          <w:bCs/>
          <w:color w:val="000000" w:themeColor="text1"/>
          <w:szCs w:val="20"/>
        </w:rPr>
        <w:t>3</w:t>
      </w:r>
      <w:r>
        <w:rPr>
          <w:rFonts w:eastAsia="Times New Roman" w:cs="Tahoma"/>
          <w:bCs/>
          <w:color w:val="000000" w:themeColor="text1"/>
          <w:szCs w:val="20"/>
        </w:rPr>
        <w:t>0</w:t>
      </w:r>
      <w:r>
        <w:rPr>
          <w:rFonts w:eastAsia="Times New Roman" w:cs="Tahoma"/>
          <w:b/>
          <w:color w:val="000000" w:themeColor="text1"/>
          <w:szCs w:val="20"/>
        </w:rPr>
        <w:tab/>
      </w:r>
      <w:r>
        <w:rPr>
          <w:rFonts w:eastAsia="Times New Roman" w:cs="Tahoma"/>
          <w:b/>
          <w:color w:val="000000" w:themeColor="text1"/>
          <w:szCs w:val="20"/>
        </w:rPr>
        <w:tab/>
      </w:r>
      <w:r>
        <w:rPr>
          <w:rFonts w:eastAsia="Times New Roman" w:cs="Tahoma"/>
          <w:b/>
          <w:color w:val="000000" w:themeColor="text1"/>
          <w:szCs w:val="20"/>
        </w:rPr>
        <w:tab/>
        <w:t xml:space="preserve">Concluding remarks </w:t>
      </w:r>
    </w:p>
    <w:p w14:paraId="028E0502" w14:textId="4EA77124" w:rsidR="00081FE7" w:rsidRPr="004E3720" w:rsidRDefault="00081FE7" w:rsidP="003C3C26">
      <w:pPr>
        <w:tabs>
          <w:tab w:val="left" w:pos="2160"/>
        </w:tabs>
        <w:spacing w:before="240" w:after="120" w:line="360" w:lineRule="auto"/>
        <w:rPr>
          <w:b/>
          <w:bCs/>
          <w:color w:val="000000" w:themeColor="text1"/>
        </w:rPr>
      </w:pPr>
    </w:p>
    <w:sectPr w:rsidR="00081FE7" w:rsidRPr="004E3720">
      <w:headerReference w:type="even" r:id="rId8"/>
      <w:headerReference w:type="default" r:id="rId9"/>
      <w:footerReference w:type="even" r:id="rId10"/>
      <w:footerReference w:type="default" r:id="rId11"/>
      <w:headerReference w:type="first" r:id="rId12"/>
      <w:footerReference w:type="first" r:id="rId13"/>
      <w:pgSz w:w="11900" w:h="16840"/>
      <w:pgMar w:top="2127"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7BBC" w14:textId="77777777" w:rsidR="004A6485" w:rsidRDefault="004A6485">
      <w:r>
        <w:separator/>
      </w:r>
    </w:p>
  </w:endnote>
  <w:endnote w:type="continuationSeparator" w:id="0">
    <w:p w14:paraId="6CBB478E" w14:textId="77777777" w:rsidR="004A6485" w:rsidRDefault="004A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43C2" w14:textId="77777777" w:rsidR="006939A7" w:rsidRDefault="006939A7" w:rsidP="002B1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479ED" w14:textId="77777777" w:rsidR="006939A7" w:rsidRDefault="006939A7" w:rsidP="00693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4005" w14:textId="77777777" w:rsidR="006939A7" w:rsidRDefault="006939A7" w:rsidP="002B1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720">
      <w:rPr>
        <w:rStyle w:val="PageNumber"/>
        <w:noProof/>
      </w:rPr>
      <w:t>1</w:t>
    </w:r>
    <w:r>
      <w:rPr>
        <w:rStyle w:val="PageNumber"/>
      </w:rPr>
      <w:fldChar w:fldCharType="end"/>
    </w:r>
  </w:p>
  <w:p w14:paraId="05866936" w14:textId="5AAAB2A3" w:rsidR="00A60627" w:rsidRPr="006939A7" w:rsidRDefault="00A60627" w:rsidP="006939A7">
    <w:pPr>
      <w:tabs>
        <w:tab w:val="center" w:pos="4680"/>
        <w:tab w:val="right" w:pos="9360"/>
      </w:tabs>
      <w:spacing w:after="720"/>
      <w:ind w:right="36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2372" w14:textId="77777777" w:rsidR="00A60627" w:rsidRDefault="004703EE">
    <w:pPr>
      <w:tabs>
        <w:tab w:val="center" w:pos="4680"/>
        <w:tab w:val="right" w:pos="9360"/>
      </w:tabs>
      <w:spacing w:after="720"/>
      <w:rPr>
        <w:sz w:val="18"/>
        <w:szCs w:val="18"/>
      </w:rPr>
    </w:pPr>
    <w:r>
      <w:rPr>
        <w:sz w:val="18"/>
        <w:szCs w:val="18"/>
      </w:rPr>
      <w:fldChar w:fldCharType="begin"/>
    </w:r>
    <w:r>
      <w:rPr>
        <w:sz w:val="18"/>
        <w:szCs w:val="18"/>
      </w:rPr>
      <w:instrText>PAGE</w:instrText>
    </w:r>
    <w:r>
      <w:rPr>
        <w:sz w:val="18"/>
        <w:szCs w:val="18"/>
      </w:rPr>
      <w:fldChar w:fldCharType="end"/>
    </w:r>
    <w:r>
      <w:rPr>
        <w:sz w:val="18"/>
        <w:szCs w:val="18"/>
      </w:rPr>
      <w:t xml:space="preserve"> </w:t>
    </w:r>
    <w:r>
      <w:rPr>
        <w:rFonts w:ascii="Calibri" w:eastAsia="Calibri" w:hAnsi="Calibri" w:cs="Calibri"/>
        <w:noProof/>
        <w:sz w:val="18"/>
        <w:szCs w:val="18"/>
      </w:rPr>
      <w:drawing>
        <wp:inline distT="0" distB="0" distL="0" distR="0" wp14:anchorId="1FB23F4B" wp14:editId="1432D154">
          <wp:extent cx="50713" cy="50713"/>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0713" cy="5071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26F4" w14:textId="77777777" w:rsidR="004A6485" w:rsidRDefault="004A6485">
      <w:r>
        <w:separator/>
      </w:r>
    </w:p>
  </w:footnote>
  <w:footnote w:type="continuationSeparator" w:id="0">
    <w:p w14:paraId="2653CE37" w14:textId="77777777" w:rsidR="004A6485" w:rsidRDefault="004A6485">
      <w:r>
        <w:continuationSeparator/>
      </w:r>
    </w:p>
  </w:footnote>
  <w:footnote w:id="1">
    <w:p w14:paraId="2AAD56FA" w14:textId="692AA8EF" w:rsidR="00D747F1" w:rsidRPr="00D747F1" w:rsidRDefault="00D747F1" w:rsidP="00D747F1">
      <w:pPr>
        <w:pStyle w:val="FootnoteText"/>
        <w:jc w:val="both"/>
        <w:rPr>
          <w:sz w:val="18"/>
          <w:szCs w:val="18"/>
        </w:rPr>
      </w:pPr>
      <w:r w:rsidRPr="00D747F1">
        <w:rPr>
          <w:rStyle w:val="FootnoteReference"/>
          <w:sz w:val="18"/>
          <w:szCs w:val="18"/>
        </w:rPr>
        <w:footnoteRef/>
      </w:r>
      <w:r w:rsidRPr="00D747F1">
        <w:rPr>
          <w:sz w:val="18"/>
          <w:szCs w:val="18"/>
        </w:rPr>
        <w:t xml:space="preserve"> CES</w:t>
      </w:r>
      <w:r>
        <w:rPr>
          <w:sz w:val="18"/>
          <w:szCs w:val="18"/>
        </w:rPr>
        <w:t xml:space="preserve">IFO (2023) </w:t>
      </w:r>
      <w:r w:rsidRPr="00D747F1">
        <w:rPr>
          <w:sz w:val="18"/>
          <w:szCs w:val="18"/>
        </w:rPr>
        <w:t>On the Governance of Carbon Dioxide Removal – A Public Economics Perspective</w:t>
      </w:r>
      <w:r>
        <w:rPr>
          <w:sz w:val="18"/>
          <w:szCs w:val="18"/>
        </w:rPr>
        <w:t xml:space="preserve">. </w:t>
      </w:r>
      <w:r w:rsidRPr="00D747F1">
        <w:rPr>
          <w:sz w:val="18"/>
          <w:szCs w:val="18"/>
        </w:rPr>
        <w:t>Working Paper No. 10370</w:t>
      </w:r>
      <w:r>
        <w:rPr>
          <w:sz w:val="18"/>
          <w:szCs w:val="18"/>
        </w:rPr>
        <w:t xml:space="preserve">. </w:t>
      </w:r>
      <w:r w:rsidRPr="00D747F1">
        <w:rPr>
          <w:sz w:val="18"/>
          <w:szCs w:val="18"/>
        </w:rPr>
        <w:t>Munich, 2023</w:t>
      </w:r>
      <w:r>
        <w:rPr>
          <w:sz w:val="18"/>
          <w:szCs w:val="18"/>
        </w:rPr>
        <w:t xml:space="preserve">. Available at: </w:t>
      </w:r>
      <w:hyperlink r:id="rId1" w:history="1">
        <w:r w:rsidRPr="00F322C6">
          <w:rPr>
            <w:rStyle w:val="Hyperlink"/>
            <w:sz w:val="18"/>
            <w:szCs w:val="18"/>
          </w:rPr>
          <w:t>https://www.cesifo.org/en/publications/2023/working-paper/governance-carbon-dioxide-removal-public-economics-perspective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7F5" w14:textId="77777777" w:rsidR="00A60627" w:rsidRDefault="00A60627">
    <w:pPr>
      <w:widowControl w:val="0"/>
      <w:spacing w:before="709" w:line="276" w:lineRule="auto"/>
      <w:rPr>
        <w:sz w:val="18"/>
        <w:szCs w:val="18"/>
      </w:rPr>
    </w:pPr>
  </w:p>
  <w:tbl>
    <w:tblPr>
      <w:tblStyle w:val="a"/>
      <w:tblW w:w="8522" w:type="dxa"/>
      <w:tblInd w:w="-1152" w:type="dxa"/>
      <w:tblBorders>
        <w:insideV w:val="single" w:sz="4" w:space="0" w:color="000000"/>
      </w:tblBorders>
      <w:tblLayout w:type="fixed"/>
      <w:tblLook w:val="0400" w:firstRow="0" w:lastRow="0" w:firstColumn="0" w:lastColumn="0" w:noHBand="0" w:noVBand="1"/>
    </w:tblPr>
    <w:tblGrid>
      <w:gridCol w:w="1152"/>
      <w:gridCol w:w="7370"/>
    </w:tblGrid>
    <w:tr w:rsidR="00A60627" w14:paraId="03F0516B" w14:textId="77777777">
      <w:tc>
        <w:tcPr>
          <w:tcW w:w="1152" w:type="dxa"/>
        </w:tcPr>
        <w:p w14:paraId="5DE11C53" w14:textId="77777777" w:rsidR="00A60627" w:rsidRDefault="004703EE">
          <w:pPr>
            <w:tabs>
              <w:tab w:val="center" w:pos="4680"/>
              <w:tab w:val="right" w:pos="9360"/>
            </w:tabs>
            <w:jc w:val="right"/>
            <w:rPr>
              <w:b/>
            </w:rPr>
          </w:pPr>
          <w:r>
            <w:fldChar w:fldCharType="begin"/>
          </w:r>
          <w:r>
            <w:instrText>PAGE</w:instrText>
          </w:r>
          <w:r>
            <w:fldChar w:fldCharType="end"/>
          </w:r>
        </w:p>
      </w:tc>
      <w:tc>
        <w:tcPr>
          <w:tcW w:w="7370" w:type="dxa"/>
        </w:tcPr>
        <w:p w14:paraId="200892B1" w14:textId="77777777" w:rsidR="00A60627" w:rsidRDefault="00A60627">
          <w:pPr>
            <w:tabs>
              <w:tab w:val="center" w:pos="4680"/>
              <w:tab w:val="right" w:pos="9360"/>
            </w:tabs>
          </w:pPr>
        </w:p>
      </w:tc>
    </w:tr>
  </w:tbl>
  <w:p w14:paraId="3570236E" w14:textId="77777777" w:rsidR="00A60627" w:rsidRDefault="00A6062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D618" w14:textId="11207B1F" w:rsidR="00E1590C" w:rsidRDefault="00BE0D19">
    <w:pPr>
      <w:tabs>
        <w:tab w:val="center" w:pos="4680"/>
        <w:tab w:val="right" w:pos="9360"/>
      </w:tabs>
      <w:spacing w:before="709"/>
    </w:pPr>
    <w:r>
      <w:rPr>
        <w:noProof/>
      </w:rPr>
      <w:drawing>
        <wp:anchor distT="0" distB="0" distL="114300" distR="114300" simplePos="0" relativeHeight="251664384" behindDoc="1" locked="0" layoutInCell="1" allowOverlap="1" wp14:anchorId="126009F5" wp14:editId="290C7841">
          <wp:simplePos x="0" y="0"/>
          <wp:positionH relativeFrom="column">
            <wp:posOffset>-193675</wp:posOffset>
          </wp:positionH>
          <wp:positionV relativeFrom="paragraph">
            <wp:posOffset>378460</wp:posOffset>
          </wp:positionV>
          <wp:extent cx="1257935" cy="769620"/>
          <wp:effectExtent l="0" t="0" r="12065" b="0"/>
          <wp:wrapNone/>
          <wp:docPr id="15" name="Picture 15" descr="../../../../../../../../ICTSD%20stuff/Logos/ERCST%20logo%20decent%20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TSD%20stuff/Logos/ERCST%20logo%20decent%20qual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80B64" w14:textId="7BC3C09E" w:rsidR="00A60627" w:rsidRDefault="00A60627">
    <w:pPr>
      <w:tabs>
        <w:tab w:val="center" w:pos="4680"/>
        <w:tab w:val="right" w:pos="9360"/>
      </w:tabs>
      <w:spacing w:before="709"/>
    </w:pPr>
  </w:p>
  <w:p w14:paraId="4E6DBFA9" w14:textId="77777777" w:rsidR="00E1590C" w:rsidRDefault="00E1590C" w:rsidP="00E1590C">
    <w:pPr>
      <w:tabs>
        <w:tab w:val="center" w:pos="4680"/>
        <w:tab w:val="right" w:pos="9360"/>
      </w:tabs>
    </w:pPr>
  </w:p>
  <w:p w14:paraId="01C599EF" w14:textId="77777777" w:rsidR="008013E1" w:rsidRDefault="008013E1" w:rsidP="00E1590C">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15BB" w14:textId="77777777" w:rsidR="00A60627" w:rsidRDefault="004703EE">
    <w:pPr>
      <w:tabs>
        <w:tab w:val="center" w:pos="4680"/>
        <w:tab w:val="right" w:pos="9360"/>
      </w:tabs>
      <w:spacing w:before="709"/>
      <w:jc w:val="center"/>
    </w:pPr>
    <w:r>
      <w:rPr>
        <w:noProof/>
      </w:rPr>
      <w:drawing>
        <wp:anchor distT="0" distB="0" distL="114300" distR="114300" simplePos="0" relativeHeight="251658240" behindDoc="0" locked="0" layoutInCell="1" hidden="0" allowOverlap="1" wp14:anchorId="06DC03EA" wp14:editId="418ED5F0">
          <wp:simplePos x="0" y="0"/>
          <wp:positionH relativeFrom="margin">
            <wp:posOffset>-457199</wp:posOffset>
          </wp:positionH>
          <wp:positionV relativeFrom="paragraph">
            <wp:posOffset>7620</wp:posOffset>
          </wp:positionV>
          <wp:extent cx="1143000" cy="7016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43000" cy="701675"/>
                  </a:xfrm>
                  <a:prstGeom prst="rect">
                    <a:avLst/>
                  </a:prstGeom>
                  <a:ln/>
                </pic:spPr>
              </pic:pic>
            </a:graphicData>
          </a:graphic>
        </wp:anchor>
      </w:drawing>
    </w:r>
  </w:p>
  <w:p w14:paraId="1C8FABC9" w14:textId="77777777" w:rsidR="00A60627" w:rsidRDefault="00A60627">
    <w:pPr>
      <w:tabs>
        <w:tab w:val="center" w:pos="468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11"/>
    <w:multiLevelType w:val="hybridMultilevel"/>
    <w:tmpl w:val="703AE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F63EF"/>
    <w:multiLevelType w:val="hybridMultilevel"/>
    <w:tmpl w:val="00CA955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0391FE3"/>
    <w:multiLevelType w:val="multilevel"/>
    <w:tmpl w:val="F3D82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57B03"/>
    <w:multiLevelType w:val="hybridMultilevel"/>
    <w:tmpl w:val="932471BA"/>
    <w:lvl w:ilvl="0" w:tplc="BF56016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7BF744E"/>
    <w:multiLevelType w:val="hybridMultilevel"/>
    <w:tmpl w:val="79E4BB1E"/>
    <w:lvl w:ilvl="0" w:tplc="09C2AF08">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8BE3D88"/>
    <w:multiLevelType w:val="hybridMultilevel"/>
    <w:tmpl w:val="8AEC1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7" w15:restartNumberingAfterBreak="0">
    <w:nsid w:val="2C8816E0"/>
    <w:multiLevelType w:val="multilevel"/>
    <w:tmpl w:val="9E62A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53537D"/>
    <w:multiLevelType w:val="multilevel"/>
    <w:tmpl w:val="73FAC9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9065ACF"/>
    <w:multiLevelType w:val="hybridMultilevel"/>
    <w:tmpl w:val="FB44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46A77"/>
    <w:multiLevelType w:val="hybridMultilevel"/>
    <w:tmpl w:val="6A62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16FA"/>
    <w:multiLevelType w:val="hybridMultilevel"/>
    <w:tmpl w:val="DA688B56"/>
    <w:lvl w:ilvl="0" w:tplc="2CA8B08E">
      <w:start w:val="1"/>
      <w:numFmt w:val="upp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EF144EB"/>
    <w:multiLevelType w:val="hybridMultilevel"/>
    <w:tmpl w:val="543A94C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9A25B76"/>
    <w:multiLevelType w:val="multilevel"/>
    <w:tmpl w:val="0B80A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7E6F8C"/>
    <w:multiLevelType w:val="hybridMultilevel"/>
    <w:tmpl w:val="21FAD39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E4771"/>
    <w:multiLevelType w:val="hybridMultilevel"/>
    <w:tmpl w:val="F002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F4C47"/>
    <w:multiLevelType w:val="hybridMultilevel"/>
    <w:tmpl w:val="1610C9F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60C36879"/>
    <w:multiLevelType w:val="hybridMultilevel"/>
    <w:tmpl w:val="77A2E02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680395876">
    <w:abstractNumId w:val="13"/>
  </w:num>
  <w:num w:numId="2" w16cid:durableId="88428904">
    <w:abstractNumId w:val="2"/>
  </w:num>
  <w:num w:numId="3" w16cid:durableId="1123570589">
    <w:abstractNumId w:val="7"/>
  </w:num>
  <w:num w:numId="4" w16cid:durableId="1830166745">
    <w:abstractNumId w:val="8"/>
  </w:num>
  <w:num w:numId="5" w16cid:durableId="1375501574">
    <w:abstractNumId w:val="0"/>
  </w:num>
  <w:num w:numId="6" w16cid:durableId="760027166">
    <w:abstractNumId w:val="5"/>
  </w:num>
  <w:num w:numId="7" w16cid:durableId="761603251">
    <w:abstractNumId w:val="16"/>
  </w:num>
  <w:num w:numId="8" w16cid:durableId="1307929941">
    <w:abstractNumId w:val="3"/>
  </w:num>
  <w:num w:numId="9" w16cid:durableId="2065712538">
    <w:abstractNumId w:val="9"/>
  </w:num>
  <w:num w:numId="10" w16cid:durableId="1955670097">
    <w:abstractNumId w:val="14"/>
  </w:num>
  <w:num w:numId="11" w16cid:durableId="152913739">
    <w:abstractNumId w:val="4"/>
  </w:num>
  <w:num w:numId="12" w16cid:durableId="928587225">
    <w:abstractNumId w:val="10"/>
  </w:num>
  <w:num w:numId="13" w16cid:durableId="205653169">
    <w:abstractNumId w:val="6"/>
  </w:num>
  <w:num w:numId="14" w16cid:durableId="955601441">
    <w:abstractNumId w:val="1"/>
  </w:num>
  <w:num w:numId="15" w16cid:durableId="448397779">
    <w:abstractNumId w:val="15"/>
  </w:num>
  <w:num w:numId="16" w16cid:durableId="1608734249">
    <w:abstractNumId w:val="19"/>
  </w:num>
  <w:num w:numId="17" w16cid:durableId="51930604">
    <w:abstractNumId w:val="18"/>
  </w:num>
  <w:num w:numId="18" w16cid:durableId="1669824395">
    <w:abstractNumId w:val="12"/>
  </w:num>
  <w:num w:numId="19" w16cid:durableId="1886595910">
    <w:abstractNumId w:val="17"/>
  </w:num>
  <w:num w:numId="20" w16cid:durableId="1290555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7"/>
    <w:rsid w:val="000013E0"/>
    <w:rsid w:val="00005B33"/>
    <w:rsid w:val="00012166"/>
    <w:rsid w:val="00021955"/>
    <w:rsid w:val="00030E4E"/>
    <w:rsid w:val="00045197"/>
    <w:rsid w:val="000508B1"/>
    <w:rsid w:val="000517B2"/>
    <w:rsid w:val="00073EFB"/>
    <w:rsid w:val="00081E84"/>
    <w:rsid w:val="00081FE7"/>
    <w:rsid w:val="00087A35"/>
    <w:rsid w:val="00094BAF"/>
    <w:rsid w:val="00096877"/>
    <w:rsid w:val="000A1E0A"/>
    <w:rsid w:val="000D099A"/>
    <w:rsid w:val="000D1DCD"/>
    <w:rsid w:val="000F1BA3"/>
    <w:rsid w:val="001007F7"/>
    <w:rsid w:val="001039AD"/>
    <w:rsid w:val="00103E97"/>
    <w:rsid w:val="0010425E"/>
    <w:rsid w:val="0013018A"/>
    <w:rsid w:val="00136774"/>
    <w:rsid w:val="00147EAA"/>
    <w:rsid w:val="00155C11"/>
    <w:rsid w:val="00161CAD"/>
    <w:rsid w:val="00162FB5"/>
    <w:rsid w:val="00194474"/>
    <w:rsid w:val="001A4133"/>
    <w:rsid w:val="001B3E75"/>
    <w:rsid w:val="001B5864"/>
    <w:rsid w:val="001D6F5E"/>
    <w:rsid w:val="001D7C17"/>
    <w:rsid w:val="001E54CC"/>
    <w:rsid w:val="001E731D"/>
    <w:rsid w:val="001F21F2"/>
    <w:rsid w:val="00215C8D"/>
    <w:rsid w:val="00235E24"/>
    <w:rsid w:val="00236383"/>
    <w:rsid w:val="002445DA"/>
    <w:rsid w:val="0025762A"/>
    <w:rsid w:val="00257A0F"/>
    <w:rsid w:val="002660CD"/>
    <w:rsid w:val="00267BFD"/>
    <w:rsid w:val="0027416B"/>
    <w:rsid w:val="00274569"/>
    <w:rsid w:val="00283031"/>
    <w:rsid w:val="00295252"/>
    <w:rsid w:val="00297609"/>
    <w:rsid w:val="00297FD8"/>
    <w:rsid w:val="002A02E6"/>
    <w:rsid w:val="002A2840"/>
    <w:rsid w:val="002A5E74"/>
    <w:rsid w:val="002C4D51"/>
    <w:rsid w:val="002E5210"/>
    <w:rsid w:val="002E664E"/>
    <w:rsid w:val="002F3433"/>
    <w:rsid w:val="0034149E"/>
    <w:rsid w:val="00354F66"/>
    <w:rsid w:val="003604E3"/>
    <w:rsid w:val="00366BB9"/>
    <w:rsid w:val="0037235E"/>
    <w:rsid w:val="00394DF8"/>
    <w:rsid w:val="0039585C"/>
    <w:rsid w:val="003C3C26"/>
    <w:rsid w:val="003D4769"/>
    <w:rsid w:val="003D4E49"/>
    <w:rsid w:val="003E72BE"/>
    <w:rsid w:val="003F444A"/>
    <w:rsid w:val="00403010"/>
    <w:rsid w:val="004401AF"/>
    <w:rsid w:val="004459B1"/>
    <w:rsid w:val="004703EE"/>
    <w:rsid w:val="00493D7A"/>
    <w:rsid w:val="004A185B"/>
    <w:rsid w:val="004A6485"/>
    <w:rsid w:val="004A6537"/>
    <w:rsid w:val="004E3720"/>
    <w:rsid w:val="004F3EEC"/>
    <w:rsid w:val="004F4A08"/>
    <w:rsid w:val="00516FE1"/>
    <w:rsid w:val="005217D1"/>
    <w:rsid w:val="0055484D"/>
    <w:rsid w:val="00555A57"/>
    <w:rsid w:val="00573D2C"/>
    <w:rsid w:val="005A1ADC"/>
    <w:rsid w:val="005B0F44"/>
    <w:rsid w:val="005C07D9"/>
    <w:rsid w:val="005C2B6D"/>
    <w:rsid w:val="005D06A4"/>
    <w:rsid w:val="005D230A"/>
    <w:rsid w:val="005E1D16"/>
    <w:rsid w:val="005F4A18"/>
    <w:rsid w:val="006004E7"/>
    <w:rsid w:val="0060473D"/>
    <w:rsid w:val="00617168"/>
    <w:rsid w:val="00661023"/>
    <w:rsid w:val="00670E11"/>
    <w:rsid w:val="00676944"/>
    <w:rsid w:val="0067707E"/>
    <w:rsid w:val="0068721D"/>
    <w:rsid w:val="006939A7"/>
    <w:rsid w:val="00694336"/>
    <w:rsid w:val="006B4C2E"/>
    <w:rsid w:val="006C00B1"/>
    <w:rsid w:val="006C038C"/>
    <w:rsid w:val="006C7C9A"/>
    <w:rsid w:val="006F107F"/>
    <w:rsid w:val="007105DE"/>
    <w:rsid w:val="00745375"/>
    <w:rsid w:val="00755F20"/>
    <w:rsid w:val="00784627"/>
    <w:rsid w:val="00787690"/>
    <w:rsid w:val="007A288F"/>
    <w:rsid w:val="007A2C1E"/>
    <w:rsid w:val="007B6076"/>
    <w:rsid w:val="007C2C9F"/>
    <w:rsid w:val="007D0F2C"/>
    <w:rsid w:val="007F4B8B"/>
    <w:rsid w:val="008013E1"/>
    <w:rsid w:val="008058BA"/>
    <w:rsid w:val="0081414A"/>
    <w:rsid w:val="008142AA"/>
    <w:rsid w:val="00821711"/>
    <w:rsid w:val="00827A82"/>
    <w:rsid w:val="008703F0"/>
    <w:rsid w:val="00872027"/>
    <w:rsid w:val="00873CBB"/>
    <w:rsid w:val="00874CB7"/>
    <w:rsid w:val="00882030"/>
    <w:rsid w:val="00886999"/>
    <w:rsid w:val="008A0071"/>
    <w:rsid w:val="008A5BFD"/>
    <w:rsid w:val="008A7F0C"/>
    <w:rsid w:val="008C1240"/>
    <w:rsid w:val="008C193C"/>
    <w:rsid w:val="008C1E73"/>
    <w:rsid w:val="008C2E86"/>
    <w:rsid w:val="008D2CF9"/>
    <w:rsid w:val="008E3E31"/>
    <w:rsid w:val="008F41E7"/>
    <w:rsid w:val="008F4489"/>
    <w:rsid w:val="00903F45"/>
    <w:rsid w:val="00913D65"/>
    <w:rsid w:val="009175B1"/>
    <w:rsid w:val="00921FB5"/>
    <w:rsid w:val="00930275"/>
    <w:rsid w:val="0094063E"/>
    <w:rsid w:val="00953149"/>
    <w:rsid w:val="00963C45"/>
    <w:rsid w:val="0097256E"/>
    <w:rsid w:val="009761C8"/>
    <w:rsid w:val="00990161"/>
    <w:rsid w:val="009A5284"/>
    <w:rsid w:val="009B0DA8"/>
    <w:rsid w:val="009B3F23"/>
    <w:rsid w:val="009B550F"/>
    <w:rsid w:val="009C10DB"/>
    <w:rsid w:val="009E549A"/>
    <w:rsid w:val="009E569A"/>
    <w:rsid w:val="009F2FDF"/>
    <w:rsid w:val="009F612F"/>
    <w:rsid w:val="00A04F5F"/>
    <w:rsid w:val="00A11FF1"/>
    <w:rsid w:val="00A33458"/>
    <w:rsid w:val="00A36489"/>
    <w:rsid w:val="00A44047"/>
    <w:rsid w:val="00A60627"/>
    <w:rsid w:val="00A63F45"/>
    <w:rsid w:val="00A8414F"/>
    <w:rsid w:val="00A94033"/>
    <w:rsid w:val="00AA1DA9"/>
    <w:rsid w:val="00AA3997"/>
    <w:rsid w:val="00AA5B4A"/>
    <w:rsid w:val="00AB3641"/>
    <w:rsid w:val="00AB6E32"/>
    <w:rsid w:val="00AD30E4"/>
    <w:rsid w:val="00AD3ACB"/>
    <w:rsid w:val="00AF6728"/>
    <w:rsid w:val="00AF7723"/>
    <w:rsid w:val="00B01775"/>
    <w:rsid w:val="00B078DE"/>
    <w:rsid w:val="00B17D3D"/>
    <w:rsid w:val="00B228F2"/>
    <w:rsid w:val="00B3418C"/>
    <w:rsid w:val="00B37402"/>
    <w:rsid w:val="00B41B25"/>
    <w:rsid w:val="00B43D82"/>
    <w:rsid w:val="00B72D34"/>
    <w:rsid w:val="00B769A6"/>
    <w:rsid w:val="00BC2DC9"/>
    <w:rsid w:val="00BC30ED"/>
    <w:rsid w:val="00BD4FD6"/>
    <w:rsid w:val="00BE0D19"/>
    <w:rsid w:val="00BE6499"/>
    <w:rsid w:val="00BF4AB3"/>
    <w:rsid w:val="00BF63A9"/>
    <w:rsid w:val="00C01C3A"/>
    <w:rsid w:val="00C129F8"/>
    <w:rsid w:val="00C14705"/>
    <w:rsid w:val="00C15B38"/>
    <w:rsid w:val="00C42182"/>
    <w:rsid w:val="00C43020"/>
    <w:rsid w:val="00C44B81"/>
    <w:rsid w:val="00C46A71"/>
    <w:rsid w:val="00C46B47"/>
    <w:rsid w:val="00C54C79"/>
    <w:rsid w:val="00C62FED"/>
    <w:rsid w:val="00C65F2B"/>
    <w:rsid w:val="00C65F3F"/>
    <w:rsid w:val="00C752DD"/>
    <w:rsid w:val="00C76484"/>
    <w:rsid w:val="00C9039C"/>
    <w:rsid w:val="00CA2E22"/>
    <w:rsid w:val="00CB00BF"/>
    <w:rsid w:val="00CB4018"/>
    <w:rsid w:val="00CB63F8"/>
    <w:rsid w:val="00CC0899"/>
    <w:rsid w:val="00CC0B96"/>
    <w:rsid w:val="00CD1DBF"/>
    <w:rsid w:val="00CD46E8"/>
    <w:rsid w:val="00CE37BC"/>
    <w:rsid w:val="00CE4380"/>
    <w:rsid w:val="00CF5FEF"/>
    <w:rsid w:val="00D0099F"/>
    <w:rsid w:val="00D039B6"/>
    <w:rsid w:val="00D12E79"/>
    <w:rsid w:val="00D13E82"/>
    <w:rsid w:val="00D214D8"/>
    <w:rsid w:val="00D267C6"/>
    <w:rsid w:val="00D46A80"/>
    <w:rsid w:val="00D747F1"/>
    <w:rsid w:val="00D91339"/>
    <w:rsid w:val="00D96F91"/>
    <w:rsid w:val="00DA3586"/>
    <w:rsid w:val="00DA4996"/>
    <w:rsid w:val="00DA573F"/>
    <w:rsid w:val="00DB3026"/>
    <w:rsid w:val="00DB5FA3"/>
    <w:rsid w:val="00DC0EED"/>
    <w:rsid w:val="00DC6A66"/>
    <w:rsid w:val="00DD6061"/>
    <w:rsid w:val="00DE3FD0"/>
    <w:rsid w:val="00DF5755"/>
    <w:rsid w:val="00E039AA"/>
    <w:rsid w:val="00E1590C"/>
    <w:rsid w:val="00E1744F"/>
    <w:rsid w:val="00E27C9B"/>
    <w:rsid w:val="00E40A54"/>
    <w:rsid w:val="00E466EE"/>
    <w:rsid w:val="00E61F06"/>
    <w:rsid w:val="00E91831"/>
    <w:rsid w:val="00E96514"/>
    <w:rsid w:val="00EA2DC0"/>
    <w:rsid w:val="00EA69E7"/>
    <w:rsid w:val="00EA717E"/>
    <w:rsid w:val="00EB326D"/>
    <w:rsid w:val="00EC2586"/>
    <w:rsid w:val="00EC38EA"/>
    <w:rsid w:val="00ED5906"/>
    <w:rsid w:val="00EE77C8"/>
    <w:rsid w:val="00EF0141"/>
    <w:rsid w:val="00EF1D1A"/>
    <w:rsid w:val="00F035DF"/>
    <w:rsid w:val="00F05674"/>
    <w:rsid w:val="00F10666"/>
    <w:rsid w:val="00F12CB0"/>
    <w:rsid w:val="00F16309"/>
    <w:rsid w:val="00F22FB4"/>
    <w:rsid w:val="00F32C4B"/>
    <w:rsid w:val="00F42056"/>
    <w:rsid w:val="00F5616D"/>
    <w:rsid w:val="00F565F2"/>
    <w:rsid w:val="00F64202"/>
    <w:rsid w:val="00F74B5A"/>
    <w:rsid w:val="00F7730F"/>
    <w:rsid w:val="00F92B35"/>
    <w:rsid w:val="00F93D3A"/>
    <w:rsid w:val="00FA183E"/>
    <w:rsid w:val="00FC01E3"/>
    <w:rsid w:val="00FC61A9"/>
    <w:rsid w:val="00FC715D"/>
    <w:rsid w:val="00FD1012"/>
    <w:rsid w:val="00FE28D1"/>
    <w:rsid w:val="00FE7969"/>
    <w:rsid w:val="00FF37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DAA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01775"/>
    <w:pPr>
      <w:ind w:left="720"/>
      <w:contextualSpacing/>
    </w:pPr>
  </w:style>
  <w:style w:type="paragraph" w:styleId="Footer">
    <w:name w:val="footer"/>
    <w:basedOn w:val="Normal"/>
    <w:link w:val="FooterChar"/>
    <w:uiPriority w:val="99"/>
    <w:unhideWhenUsed/>
    <w:rsid w:val="002445DA"/>
    <w:pPr>
      <w:tabs>
        <w:tab w:val="center" w:pos="4513"/>
        <w:tab w:val="right" w:pos="9026"/>
      </w:tabs>
    </w:pPr>
  </w:style>
  <w:style w:type="character" w:customStyle="1" w:styleId="FooterChar">
    <w:name w:val="Footer Char"/>
    <w:basedOn w:val="DefaultParagraphFont"/>
    <w:link w:val="Footer"/>
    <w:uiPriority w:val="99"/>
    <w:rsid w:val="002445DA"/>
  </w:style>
  <w:style w:type="paragraph" w:styleId="BalloonText">
    <w:name w:val="Balloon Text"/>
    <w:basedOn w:val="Normal"/>
    <w:link w:val="BalloonTextChar"/>
    <w:uiPriority w:val="99"/>
    <w:semiHidden/>
    <w:unhideWhenUsed/>
    <w:rsid w:val="001D6F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F5E"/>
    <w:rPr>
      <w:rFonts w:ascii="Lucida Grande" w:hAnsi="Lucida Grande" w:cs="Lucida Grande"/>
      <w:sz w:val="18"/>
      <w:szCs w:val="18"/>
    </w:rPr>
  </w:style>
  <w:style w:type="table" w:styleId="TableGrid">
    <w:name w:val="Table Grid"/>
    <w:basedOn w:val="TableNormal"/>
    <w:uiPriority w:val="39"/>
    <w:rsid w:val="0052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217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5217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6Colorful-Accent5">
    <w:name w:val="List Table 6 Colorful Accent 5"/>
    <w:basedOn w:val="TableNormal"/>
    <w:uiPriority w:val="51"/>
    <w:rsid w:val="005217D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5217D1"/>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5217D1"/>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939A7"/>
    <w:rPr>
      <w:color w:val="0563C1" w:themeColor="hyperlink"/>
      <w:u w:val="single"/>
    </w:rPr>
  </w:style>
  <w:style w:type="character" w:styleId="PageNumber">
    <w:name w:val="page number"/>
    <w:basedOn w:val="DefaultParagraphFont"/>
    <w:uiPriority w:val="99"/>
    <w:semiHidden/>
    <w:unhideWhenUsed/>
    <w:rsid w:val="006939A7"/>
  </w:style>
  <w:style w:type="paragraph" w:styleId="FootnoteText">
    <w:name w:val="footnote text"/>
    <w:basedOn w:val="Normal"/>
    <w:link w:val="FootnoteTextChar"/>
    <w:uiPriority w:val="99"/>
    <w:unhideWhenUsed/>
    <w:rsid w:val="00CD1DBF"/>
  </w:style>
  <w:style w:type="character" w:customStyle="1" w:styleId="FootnoteTextChar">
    <w:name w:val="Footnote Text Char"/>
    <w:basedOn w:val="DefaultParagraphFont"/>
    <w:link w:val="FootnoteText"/>
    <w:uiPriority w:val="99"/>
    <w:rsid w:val="00CD1DBF"/>
  </w:style>
  <w:style w:type="character" w:styleId="FootnoteReference">
    <w:name w:val="footnote reference"/>
    <w:basedOn w:val="DefaultParagraphFont"/>
    <w:uiPriority w:val="99"/>
    <w:unhideWhenUsed/>
    <w:rsid w:val="00CD1DBF"/>
    <w:rPr>
      <w:vertAlign w:val="superscript"/>
    </w:rPr>
  </w:style>
  <w:style w:type="paragraph" w:customStyle="1" w:styleId="Paragrafobase">
    <w:name w:val="[Paragrafo base]"/>
    <w:basedOn w:val="Normal"/>
    <w:uiPriority w:val="99"/>
    <w:rsid w:val="00BD4FD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Pro-Regular" w:eastAsiaTheme="minorEastAsia" w:hAnsi="MinionPro-Regular" w:cs="MinionPro-Regular"/>
      <w:lang w:eastAsia="it-IT"/>
    </w:rPr>
  </w:style>
  <w:style w:type="paragraph" w:styleId="Revision">
    <w:name w:val="Revision"/>
    <w:hidden/>
    <w:uiPriority w:val="99"/>
    <w:semiHidden/>
    <w:rsid w:val="008703F0"/>
    <w:pPr>
      <w:pBdr>
        <w:top w:val="none" w:sz="0" w:space="0" w:color="auto"/>
        <w:left w:val="none" w:sz="0" w:space="0" w:color="auto"/>
        <w:bottom w:val="none" w:sz="0" w:space="0" w:color="auto"/>
        <w:right w:val="none" w:sz="0" w:space="0" w:color="auto"/>
        <w:between w:val="none" w:sz="0" w:space="0" w:color="auto"/>
      </w:pBdr>
    </w:pPr>
  </w:style>
  <w:style w:type="character" w:styleId="UnresolvedMention">
    <w:name w:val="Unresolved Mention"/>
    <w:basedOn w:val="DefaultParagraphFont"/>
    <w:uiPriority w:val="99"/>
    <w:rsid w:val="00CD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64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esifo.org/en/publications/2023/working-paper/governance-carbon-dioxide-removal-public-economics-perspec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CDDD74-5800-1545-BD38-1C238B1B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Juan Lopez</cp:lastModifiedBy>
  <cp:revision>3</cp:revision>
  <cp:lastPrinted>2022-10-31T17:01:00Z</cp:lastPrinted>
  <dcterms:created xsi:type="dcterms:W3CDTF">2023-09-11T13:50:00Z</dcterms:created>
  <dcterms:modified xsi:type="dcterms:W3CDTF">2023-09-11T13:54:00Z</dcterms:modified>
</cp:coreProperties>
</file>